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Załącznik nr 1</w:t>
      </w:r>
      <w:r w:rsidRPr="00D873F6">
        <w:rPr>
          <w:rFonts w:ascii="Tahoma" w:hAnsi="Tahoma" w:cs="Tahoma"/>
          <w:b/>
          <w:bCs/>
        </w:rPr>
        <w:t>B-</w:t>
      </w:r>
      <w:r w:rsidR="007A2CC5">
        <w:rPr>
          <w:rFonts w:ascii="Tahoma" w:hAnsi="Tahoma" w:cs="Tahoma"/>
          <w:b/>
          <w:bCs/>
        </w:rPr>
        <w:t>1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 w:rsidR="007A2CC5">
        <w:rPr>
          <w:rFonts w:ascii="Tahoma" w:hAnsi="Tahoma" w:cs="Tahoma"/>
          <w:b/>
        </w:rPr>
        <w:t>1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AD166A" w:rsidRDefault="00775624" w:rsidP="00AD166A">
      <w:pPr>
        <w:keepNext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/>
          <w:b/>
          <w:bCs/>
          <w:color w:val="000000"/>
          <w:shd w:val="clear" w:color="auto" w:fill="C0C0C0"/>
        </w:rPr>
        <w:t>Parametry</w:t>
      </w:r>
      <w:r w:rsidR="00AD166A">
        <w:rPr>
          <w:rFonts w:ascii="Tahoma" w:hAnsi="Tahoma"/>
          <w:b/>
          <w:bCs/>
          <w:color w:val="000000"/>
          <w:shd w:val="clear" w:color="auto" w:fill="C0C0C0"/>
        </w:rPr>
        <w:t xml:space="preserve"> jakościowe </w:t>
      </w:r>
      <w:r>
        <w:rPr>
          <w:rFonts w:ascii="Tahoma" w:hAnsi="Tahoma"/>
          <w:b/>
          <w:bCs/>
          <w:color w:val="000000"/>
          <w:shd w:val="clear" w:color="auto" w:fill="C0C0C0"/>
        </w:rPr>
        <w:t xml:space="preserve">podlegające ocenie dla </w:t>
      </w:r>
      <w:r w:rsidR="00AD166A">
        <w:rPr>
          <w:rFonts w:ascii="Tahoma" w:hAnsi="Tahoma" w:cs="Tahoma"/>
          <w:b/>
          <w:shd w:val="clear" w:color="auto" w:fill="C0C0C0"/>
        </w:rPr>
        <w:t>kardiowerterów jednojamowych z elektrodami</w:t>
      </w:r>
    </w:p>
    <w:p w:rsidR="00775624" w:rsidRDefault="00AD166A" w:rsidP="00AD166A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089"/>
        <w:gridCol w:w="1930"/>
        <w:gridCol w:w="2633"/>
      </w:tblGrid>
      <w:tr w:rsidR="00AD166A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775624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kardiowerterów i elektrod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7A2CC5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Żywotność baterii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Podać: 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 pkt za każdy rok powyżej 5-ciu lat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maksymalnie 2 punktów</w:t>
            </w:r>
          </w:p>
        </w:tc>
      </w:tr>
      <w:tr w:rsidR="007A2CC5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Elektrody do defibrylacji podskórne różnej długości z zestawem wprowadzającym, elektrody </w:t>
            </w:r>
            <w:proofErr w:type="spellStart"/>
            <w:r>
              <w:rPr>
                <w:rFonts w:ascii="Tahoma" w:hAnsi="Tahoma" w:cs="Tahoma"/>
                <w:color w:val="000000"/>
              </w:rPr>
              <w:t>nasierdziowe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Podać: 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7A2CC5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keepNext/>
              <w:snapToGrid w:val="0"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Dyskryminator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oversensingu</w:t>
            </w:r>
            <w:proofErr w:type="spellEnd"/>
            <w:r>
              <w:rPr>
                <w:rFonts w:ascii="Tahoma" w:hAnsi="Tahoma" w:cs="Tahoma"/>
                <w:bCs/>
                <w:color w:val="000000"/>
              </w:rPr>
              <w:t xml:space="preserve"> załamka T- możliwość zmiany wyczuwania w kanale komorowym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Podać: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7A2CC5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zaprogramowania strefy FVT via VF lub VT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7A2CC5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Automatyczna sygnalizacja uszkodzenia elektrody /sygnał dźwiękowy/</w:t>
            </w:r>
            <w:r>
              <w:rPr>
                <w:rFonts w:ascii="Tahoma" w:hAnsi="Tahoma" w:cs="Tahoma"/>
              </w:rPr>
              <w:t xml:space="preserve"> emitowany przez wszczepione urządzenie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7A2CC5" w:rsidTr="00775624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f.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</w:rPr>
              <w:t>Automatyczna sygnalizacja ERI /sygnał dźwiękowy/</w:t>
            </w:r>
            <w:r>
              <w:rPr>
                <w:rFonts w:ascii="Tahoma" w:hAnsi="Tahoma" w:cs="Tahoma"/>
              </w:rPr>
              <w:t xml:space="preserve"> emitowany przez wszczepione urządzenie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</w:tbl>
    <w:p w:rsidR="00AD166A" w:rsidRDefault="00AD166A" w:rsidP="00AD166A">
      <w:pPr>
        <w:rPr>
          <w:rFonts w:ascii="Tahoma" w:hAnsi="Tahoma"/>
        </w:rPr>
      </w:pPr>
      <w:r>
        <w:rPr>
          <w:rFonts w:ascii="Tahoma" w:hAnsi="Tahoma"/>
        </w:rPr>
        <w:t xml:space="preserve">       * - niepotrzebne skreślić</w:t>
      </w:r>
    </w:p>
    <w:p w:rsidR="00AD166A" w:rsidRPr="00CA7CA6" w:rsidRDefault="00AD166A" w:rsidP="00775624">
      <w:pPr>
        <w:rPr>
          <w:rFonts w:ascii="Tahoma" w:hAnsi="Tahoma" w:cs="Tahoma"/>
          <w:b/>
        </w:rPr>
      </w:pPr>
      <w:r>
        <w:rPr>
          <w:rFonts w:ascii="Tahoma" w:hAnsi="Tahoma"/>
        </w:rPr>
        <w:t xml:space="preserve"> </w:t>
      </w:r>
      <w:r>
        <w:rPr>
          <w:rFonts w:ascii="Tahoma" w:hAnsi="Tahoma" w:cs="Tahoma"/>
          <w:b/>
        </w:rPr>
        <w:t>Uwaga! Zamawiający wymaga od Wykonawcy wypełnienia powyższej tabeli poprzez podanie oferowanego parametru (w pozycji „a, b, c”) i skreślenie słowa „TAK” lub „NIE” (w pozycji „d, e, f”). Nie wypełnienie tabeli (niepodanie oferowanego parametru w pozycji „a, b, c” i/lub brak skreślenia słowa „TAK” lub „NIE” w pozycji „d, e, f”) spowoduje, iż oferta otrzyma „0” punktów jakościowych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775624" w:rsidRDefault="00775624" w:rsidP="000376B8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lastRenderedPageBreak/>
        <w:t>Załącznik nr 1</w:t>
      </w:r>
      <w:r w:rsidRPr="00D873F6">
        <w:rPr>
          <w:rFonts w:ascii="Tahoma" w:hAnsi="Tahoma" w:cs="Tahoma"/>
          <w:b/>
          <w:bCs/>
        </w:rPr>
        <w:t>B-</w:t>
      </w:r>
      <w:r>
        <w:rPr>
          <w:rFonts w:ascii="Tahoma" w:hAnsi="Tahoma" w:cs="Tahoma"/>
          <w:b/>
          <w:bCs/>
        </w:rPr>
        <w:t>2</w:t>
      </w:r>
      <w:r w:rsidRPr="00D873F6">
        <w:rPr>
          <w:rFonts w:ascii="Tahoma" w:hAnsi="Tahoma" w:cs="Tahoma"/>
          <w:b/>
          <w:bCs/>
        </w:rPr>
        <w:t xml:space="preserve"> do SIWZ</w:t>
      </w:r>
      <w:r w:rsidRPr="00D873F6">
        <w:rPr>
          <w:rFonts w:ascii="Tahoma" w:hAnsi="Tahoma" w:cs="Tahoma"/>
          <w:b/>
        </w:rPr>
        <w:tab/>
      </w:r>
    </w:p>
    <w:p w:rsidR="00D53B14" w:rsidRPr="00D873F6" w:rsidRDefault="00D53B14" w:rsidP="00D53B14">
      <w:pPr>
        <w:tabs>
          <w:tab w:val="left" w:pos="6379"/>
        </w:tabs>
        <w:ind w:left="4956" w:firstLine="708"/>
        <w:jc w:val="center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ab/>
        <w:t xml:space="preserve"> (do zadania nr </w:t>
      </w:r>
      <w:r>
        <w:rPr>
          <w:rFonts w:ascii="Tahoma" w:hAnsi="Tahoma" w:cs="Tahoma"/>
          <w:b/>
        </w:rPr>
        <w:t>2</w:t>
      </w:r>
      <w:r w:rsidRPr="00D873F6">
        <w:rPr>
          <w:rFonts w:ascii="Tahoma" w:hAnsi="Tahoma" w:cs="Tahoma"/>
          <w:b/>
        </w:rPr>
        <w:t>)</w:t>
      </w:r>
    </w:p>
    <w:p w:rsidR="00D53B14" w:rsidRPr="00D873F6" w:rsidRDefault="00D53B14" w:rsidP="00D53B14">
      <w:pPr>
        <w:suppressAutoHyphens/>
        <w:jc w:val="center"/>
        <w:rPr>
          <w:rFonts w:ascii="Tahoma" w:hAnsi="Tahoma" w:cs="Tahoma"/>
          <w:i/>
          <w:lang w:eastAsia="ar-SA"/>
        </w:rPr>
      </w:pPr>
    </w:p>
    <w:p w:rsidR="00AD166A" w:rsidRDefault="0087440A" w:rsidP="00AD166A">
      <w:pPr>
        <w:keepNext/>
        <w:jc w:val="center"/>
        <w:rPr>
          <w:rFonts w:ascii="Tahoma" w:hAnsi="Tahoma" w:cs="Tahoma"/>
          <w:b/>
          <w:shd w:val="clear" w:color="auto" w:fill="C0C0C0"/>
        </w:rPr>
      </w:pPr>
      <w:r>
        <w:rPr>
          <w:rFonts w:ascii="Tahoma" w:hAnsi="Tahoma" w:cs="Tahoma"/>
          <w:b/>
          <w:bCs/>
          <w:color w:val="000000"/>
          <w:shd w:val="clear" w:color="auto" w:fill="C0C0C0"/>
        </w:rPr>
        <w:t>Parametry jakościowe podlegające ocenie dla</w:t>
      </w:r>
      <w:r w:rsidR="00AD166A">
        <w:rPr>
          <w:rFonts w:ascii="Tahoma" w:hAnsi="Tahoma" w:cs="Tahoma"/>
          <w:b/>
          <w:bCs/>
          <w:color w:val="000000"/>
          <w:shd w:val="clear" w:color="auto" w:fill="C0C0C0"/>
        </w:rPr>
        <w:t xml:space="preserve"> </w:t>
      </w:r>
      <w:r w:rsidR="00AD166A">
        <w:rPr>
          <w:rFonts w:ascii="Tahoma" w:hAnsi="Tahoma" w:cs="Tahoma"/>
          <w:b/>
          <w:shd w:val="clear" w:color="auto" w:fill="C0C0C0"/>
        </w:rPr>
        <w:t>kardiowerterów dwujamowych z elektrodami</w:t>
      </w:r>
    </w:p>
    <w:p w:rsidR="00AD166A" w:rsidRDefault="00AD166A" w:rsidP="00AD166A">
      <w:pPr>
        <w:widowControl w:val="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5086"/>
        <w:gridCol w:w="1929"/>
        <w:gridCol w:w="2637"/>
      </w:tblGrid>
      <w:tr w:rsidR="00AD166A" w:rsidTr="007A2CC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87440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Parametry oceny jakości kardiowerterów i elektrod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  <w:lang w:val="en-GB"/>
              </w:rPr>
            </w:pPr>
            <w:proofErr w:type="spellStart"/>
            <w:r>
              <w:rPr>
                <w:rFonts w:ascii="Tahoma" w:hAnsi="Tahoma" w:cs="Tahoma"/>
                <w:b/>
                <w:lang w:val="en-GB"/>
              </w:rPr>
              <w:t>Parametr</w:t>
            </w:r>
            <w:proofErr w:type="spellEnd"/>
            <w:r>
              <w:rPr>
                <w:rFonts w:ascii="Tahoma" w:hAnsi="Tahoma" w:cs="Tahoma"/>
                <w:b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lang w:val="en-GB"/>
              </w:rPr>
              <w:t>oferowany</w:t>
            </w:r>
            <w:proofErr w:type="spellEnd"/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D166A" w:rsidRDefault="00AD166A" w:rsidP="0087440A">
            <w:pPr>
              <w:snapToGri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Punktacja</w:t>
            </w:r>
          </w:p>
        </w:tc>
      </w:tr>
      <w:tr w:rsidR="007A2CC5" w:rsidTr="007A2CC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Energia defibrylacji &gt; 35J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7A2CC5" w:rsidTr="007A2CC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keepNext/>
              <w:snapToGrid w:val="0"/>
              <w:jc w:val="both"/>
              <w:rPr>
                <w:rFonts w:ascii="Tahoma" w:hAnsi="Tahoma" w:cs="Tahoma"/>
                <w:bCs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 xml:space="preserve">Automatyczny </w:t>
            </w:r>
            <w:proofErr w:type="spellStart"/>
            <w:r>
              <w:rPr>
                <w:rFonts w:ascii="Tahoma" w:hAnsi="Tahoma" w:cs="Tahoma"/>
                <w:bCs/>
                <w:color w:val="000000"/>
              </w:rPr>
              <w:t>follow-up</w:t>
            </w:r>
            <w:proofErr w:type="spellEnd"/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7A2CC5" w:rsidTr="007A2CC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Dyskryminator </w:t>
            </w:r>
            <w:proofErr w:type="spellStart"/>
            <w:r>
              <w:rPr>
                <w:rFonts w:ascii="Tahoma" w:hAnsi="Tahoma" w:cs="Tahoma"/>
              </w:rPr>
              <w:t>oversensingu</w:t>
            </w:r>
            <w:proofErr w:type="spellEnd"/>
            <w:r>
              <w:rPr>
                <w:rFonts w:ascii="Tahoma" w:hAnsi="Tahoma" w:cs="Tahoma"/>
              </w:rPr>
              <w:t xml:space="preserve"> załamka T- możliwość zmiany wyczuwania w kanale komorowym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3 pkt.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7A2CC5" w:rsidTr="007A2CC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t>Konfiguracje stymulacji LV- min 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7A2CC5" w:rsidTr="007A2CC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Funkcja ATP optymalizacja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  <w:tr w:rsidR="007A2CC5" w:rsidTr="007A2CC5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87440A">
            <w:pPr>
              <w:snapToGri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f.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Automatyczna sygnalizacja uszkodzenia elektrody, ERI /sygnał dźwiękowy/ emitowany przez wszczepione urządzenie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tak*/nie*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CC5" w:rsidRDefault="007A2CC5" w:rsidP="00BA7908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– 2 pkt.</w:t>
            </w:r>
          </w:p>
          <w:p w:rsidR="007A2CC5" w:rsidRDefault="007A2CC5" w:rsidP="00BA79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–  0 pkt.</w:t>
            </w:r>
          </w:p>
        </w:tc>
      </w:tr>
    </w:tbl>
    <w:p w:rsidR="00AD166A" w:rsidRDefault="00AD166A" w:rsidP="00AD166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* - niepotrzebne skreślić</w:t>
      </w:r>
    </w:p>
    <w:p w:rsidR="00AD166A" w:rsidRDefault="00AD166A" w:rsidP="00AD166A">
      <w:pPr>
        <w:ind w:left="-36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p w:rsidR="00AD166A" w:rsidRPr="00A26F42" w:rsidRDefault="00AD166A" w:rsidP="0087440A">
      <w:pPr>
        <w:tabs>
          <w:tab w:val="left" w:pos="3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Uwaga! Zamawiający wymaga od Wykonawcy wypełnienia powyższej tabeli poprzez skreślenie słowa „TAK” lub „NIE” (w pozycji „</w:t>
      </w:r>
      <w:r w:rsidR="0087440A">
        <w:rPr>
          <w:rFonts w:ascii="Tahoma" w:hAnsi="Tahoma" w:cs="Tahoma"/>
          <w:b/>
        </w:rPr>
        <w:t>a, b, c, d, e, f</w:t>
      </w:r>
      <w:r>
        <w:rPr>
          <w:rFonts w:ascii="Tahoma" w:hAnsi="Tahoma" w:cs="Tahoma"/>
          <w:b/>
        </w:rPr>
        <w:t>”). Nie wypełnienie tabeli (brak skreślenia słowa „TAK” lub „NIE” w pozycji „</w:t>
      </w:r>
      <w:r w:rsidR="0087440A">
        <w:rPr>
          <w:rFonts w:ascii="Tahoma" w:hAnsi="Tahoma" w:cs="Tahoma"/>
          <w:b/>
        </w:rPr>
        <w:t>a, b, c, d, e, f</w:t>
      </w:r>
      <w:r>
        <w:rPr>
          <w:rFonts w:ascii="Tahoma" w:hAnsi="Tahoma" w:cs="Tahoma"/>
          <w:b/>
        </w:rPr>
        <w:t>”) spowoduje, iż oferta otrzyma „0” punktów jakościowych</w:t>
      </w: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>
      <w:pPr>
        <w:rPr>
          <w:rFonts w:ascii="Tahoma" w:hAnsi="Tahoma"/>
        </w:rPr>
      </w:pPr>
    </w:p>
    <w:p w:rsidR="00D53B14" w:rsidRPr="00D873F6" w:rsidRDefault="00D53B14" w:rsidP="00D53B14"/>
    <w:p w:rsidR="00D53B14" w:rsidRPr="00736830" w:rsidRDefault="00D53B14" w:rsidP="00D53B14">
      <w:pPr>
        <w:rPr>
          <w:rFonts w:ascii="Tahoma" w:hAnsi="Tahoma" w:cs="Tahoma"/>
        </w:rPr>
      </w:pPr>
      <w:r w:rsidRPr="00736830">
        <w:rPr>
          <w:rFonts w:ascii="Tahoma" w:hAnsi="Tahoma" w:cs="Tahoma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(miejscowość, data)                              (pieczęć i podpis osoby / osób wskazanych w dokumencie, 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uprawnionej /uprawnionych  do  występowania  w obrocie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prawnym, reprezentowania Wykonawcy i składania </w:t>
      </w:r>
    </w:p>
    <w:p w:rsidR="00D53B14" w:rsidRPr="009D47EF" w:rsidRDefault="00D53B14" w:rsidP="00D53B14">
      <w:pPr>
        <w:rPr>
          <w:rFonts w:ascii="Tahoma" w:hAnsi="Tahoma" w:cs="Tahoma"/>
          <w:sz w:val="18"/>
          <w:szCs w:val="18"/>
        </w:rPr>
      </w:pPr>
      <w:r w:rsidRPr="009D47EF">
        <w:rPr>
          <w:rFonts w:ascii="Tahoma" w:hAnsi="Tahoma" w:cs="Tahoma"/>
          <w:sz w:val="18"/>
          <w:szCs w:val="18"/>
        </w:rPr>
        <w:t xml:space="preserve">                                                                   oświadczeń woli w jego imieniu</w:t>
      </w: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Default="00D53B14" w:rsidP="00D53B14">
      <w:pPr>
        <w:jc w:val="right"/>
        <w:rPr>
          <w:rFonts w:ascii="Tahoma" w:hAnsi="Tahoma" w:cs="Tahoma"/>
          <w:b/>
        </w:rPr>
      </w:pPr>
    </w:p>
    <w:p w:rsidR="00D53B14" w:rsidRPr="001069D8" w:rsidRDefault="00D53B14" w:rsidP="00D53B14">
      <w:pPr>
        <w:jc w:val="both"/>
        <w:rPr>
          <w:i/>
          <w:color w:val="FF0000"/>
          <w:sz w:val="18"/>
          <w:szCs w:val="18"/>
        </w:rPr>
      </w:pPr>
      <w:r w:rsidRPr="001069D8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D53B14" w:rsidRDefault="00D53B14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</w:p>
    <w:p w:rsidR="0087440A" w:rsidRDefault="0087440A" w:rsidP="000376B8">
      <w:pPr>
        <w:jc w:val="right"/>
        <w:rPr>
          <w:rFonts w:ascii="Tahoma" w:hAnsi="Tahoma" w:cs="Tahoma"/>
          <w:b/>
        </w:rPr>
      </w:pPr>
      <w:bookmarkStart w:id="0" w:name="_GoBack"/>
      <w:bookmarkEnd w:id="0"/>
    </w:p>
    <w:sectPr w:rsidR="0087440A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0A" w:rsidRDefault="0087440A" w:rsidP="001126B8">
      <w:r>
        <w:separator/>
      </w:r>
    </w:p>
  </w:endnote>
  <w:endnote w:type="continuationSeparator" w:id="0">
    <w:p w:rsidR="0087440A" w:rsidRDefault="0087440A" w:rsidP="0011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87440A" w:rsidRPr="001126B8" w:rsidRDefault="0087440A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7A2CC5">
          <w:rPr>
            <w:rFonts w:ascii="Tahoma" w:eastAsia="Times New Roman" w:hAnsi="Tahoma" w:cs="Tahoma"/>
            <w:sz w:val="20"/>
            <w:szCs w:val="20"/>
            <w:lang w:eastAsia="pl-PL"/>
          </w:rPr>
          <w:t>68</w:t>
        </w:r>
        <w:r>
          <w:rPr>
            <w:rFonts w:ascii="Tahoma" w:eastAsia="Times New Roman" w:hAnsi="Tahoma" w:cs="Tahoma"/>
            <w:sz w:val="20"/>
            <w:szCs w:val="20"/>
            <w:lang w:eastAsia="pl-PL"/>
          </w:rPr>
          <w:t>/2015</w:t>
        </w:r>
      </w:p>
      <w:p w:rsidR="0087440A" w:rsidRDefault="005457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C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40A" w:rsidRDefault="00874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0A" w:rsidRDefault="0087440A" w:rsidP="001126B8">
      <w:r>
        <w:separator/>
      </w:r>
    </w:p>
  </w:footnote>
  <w:footnote w:type="continuationSeparator" w:id="0">
    <w:p w:rsidR="0087440A" w:rsidRDefault="0087440A" w:rsidP="0011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665"/>
    <w:rsid w:val="000376B8"/>
    <w:rsid w:val="001126B8"/>
    <w:rsid w:val="00172C2A"/>
    <w:rsid w:val="00281AF0"/>
    <w:rsid w:val="00322EA1"/>
    <w:rsid w:val="003A4D47"/>
    <w:rsid w:val="003F6670"/>
    <w:rsid w:val="004B6478"/>
    <w:rsid w:val="00532F74"/>
    <w:rsid w:val="0054571C"/>
    <w:rsid w:val="00565BFC"/>
    <w:rsid w:val="005D396F"/>
    <w:rsid w:val="006519A1"/>
    <w:rsid w:val="006F31C5"/>
    <w:rsid w:val="00761956"/>
    <w:rsid w:val="00775624"/>
    <w:rsid w:val="007935F0"/>
    <w:rsid w:val="007A2CC5"/>
    <w:rsid w:val="007C600E"/>
    <w:rsid w:val="00806ECD"/>
    <w:rsid w:val="00815BCB"/>
    <w:rsid w:val="0087440A"/>
    <w:rsid w:val="008C4FC3"/>
    <w:rsid w:val="00930665"/>
    <w:rsid w:val="009D2426"/>
    <w:rsid w:val="00A137F2"/>
    <w:rsid w:val="00A24DBC"/>
    <w:rsid w:val="00AD166A"/>
    <w:rsid w:val="00B254F9"/>
    <w:rsid w:val="00BC4069"/>
    <w:rsid w:val="00C46C85"/>
    <w:rsid w:val="00CB389F"/>
    <w:rsid w:val="00CC3329"/>
    <w:rsid w:val="00CE1431"/>
    <w:rsid w:val="00D53B14"/>
    <w:rsid w:val="00D7324D"/>
    <w:rsid w:val="00D92710"/>
    <w:rsid w:val="00DB52E9"/>
    <w:rsid w:val="00E866F1"/>
    <w:rsid w:val="00EB27B2"/>
    <w:rsid w:val="00EB45CB"/>
    <w:rsid w:val="00F00690"/>
    <w:rsid w:val="00F467CC"/>
    <w:rsid w:val="00FA2D1D"/>
    <w:rsid w:val="00FD6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Tekstdymka">
    <w:name w:val="Balloon Text"/>
    <w:basedOn w:val="Normalny"/>
    <w:link w:val="TekstdymkaZnak"/>
    <w:uiPriority w:val="99"/>
    <w:semiHidden/>
    <w:unhideWhenUsed/>
    <w:rsid w:val="00545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71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41</cp:revision>
  <cp:lastPrinted>2015-07-06T13:00:00Z</cp:lastPrinted>
  <dcterms:created xsi:type="dcterms:W3CDTF">2014-02-04T12:51:00Z</dcterms:created>
  <dcterms:modified xsi:type="dcterms:W3CDTF">2015-07-06T13:00:00Z</dcterms:modified>
</cp:coreProperties>
</file>