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4AA" w:rsidRDefault="00C924AA" w:rsidP="00C924AA">
      <w:pPr>
        <w:jc w:val="right"/>
        <w:rPr>
          <w:rFonts w:ascii="Tahoma" w:hAnsi="Tahoma" w:cs="Tahoma"/>
          <w:b/>
        </w:rPr>
      </w:pPr>
      <w:r>
        <w:rPr>
          <w:rFonts w:ascii="Tahoma" w:hAnsi="Tahoma" w:cs="Tahoma"/>
          <w:b/>
        </w:rPr>
        <w:t>Załącznik nr 1</w:t>
      </w:r>
      <w:r w:rsidR="0042112F">
        <w:rPr>
          <w:rFonts w:ascii="Tahoma" w:hAnsi="Tahoma" w:cs="Tahoma"/>
          <w:b/>
        </w:rPr>
        <w:t>A</w:t>
      </w:r>
      <w:r w:rsidRPr="00FB46E6">
        <w:rPr>
          <w:rFonts w:ascii="Tahoma" w:hAnsi="Tahoma" w:cs="Tahoma"/>
          <w:b/>
        </w:rPr>
        <w:t xml:space="preserve"> do SIWZ</w:t>
      </w:r>
    </w:p>
    <w:p w:rsidR="00C924AA" w:rsidRPr="00576548" w:rsidRDefault="00C924AA" w:rsidP="00C924AA">
      <w:pPr>
        <w:rPr>
          <w:color w:val="FF0000"/>
        </w:rPr>
      </w:pPr>
    </w:p>
    <w:p w:rsidR="00C924AA" w:rsidRPr="00483286" w:rsidRDefault="00C924AA" w:rsidP="00C924AA">
      <w:pPr>
        <w:shd w:val="clear" w:color="auto" w:fill="D9D9D9"/>
        <w:jc w:val="center"/>
        <w:rPr>
          <w:rFonts w:ascii="Tahoma" w:hAnsi="Tahoma" w:cs="Tahoma"/>
          <w:b/>
          <w:u w:val="single"/>
        </w:rPr>
      </w:pPr>
      <w:r w:rsidRPr="00483286">
        <w:rPr>
          <w:rFonts w:ascii="Tahoma" w:hAnsi="Tahoma" w:cs="Tahoma"/>
          <w:b/>
          <w:u w:val="single"/>
        </w:rPr>
        <w:t xml:space="preserve">Wymagane parametry </w:t>
      </w:r>
    </w:p>
    <w:p w:rsidR="00C924AA" w:rsidRDefault="00C924AA" w:rsidP="00C924AA">
      <w:pPr>
        <w:rPr>
          <w:rFonts w:ascii="Tahoma" w:hAnsi="Tahoma" w:cs="Tahoma"/>
          <w:b/>
          <w:color w:val="FF0000"/>
          <w:sz w:val="18"/>
          <w:szCs w:val="18"/>
          <w:u w:val="single"/>
        </w:rPr>
      </w:pPr>
    </w:p>
    <w:tbl>
      <w:tblPr>
        <w:tblW w:w="10206" w:type="dxa"/>
        <w:jc w:val="center"/>
        <w:tblLayout w:type="fixed"/>
        <w:tblCellMar>
          <w:left w:w="70" w:type="dxa"/>
          <w:right w:w="70" w:type="dxa"/>
        </w:tblCellMar>
        <w:tblLook w:val="0000" w:firstRow="0" w:lastRow="0" w:firstColumn="0" w:lastColumn="0" w:noHBand="0" w:noVBand="0"/>
      </w:tblPr>
      <w:tblGrid>
        <w:gridCol w:w="798"/>
        <w:gridCol w:w="7566"/>
        <w:gridCol w:w="1842"/>
      </w:tblGrid>
      <w:tr w:rsidR="004F2B45" w:rsidRPr="004F2B45" w:rsidTr="000A2169">
        <w:trPr>
          <w:trHeight w:val="800"/>
          <w:jc w:val="center"/>
        </w:trPr>
        <w:tc>
          <w:tcPr>
            <w:tcW w:w="798" w:type="dxa"/>
            <w:tcBorders>
              <w:top w:val="single" w:sz="4" w:space="0" w:color="000000"/>
              <w:left w:val="single" w:sz="4" w:space="0" w:color="000000"/>
              <w:bottom w:val="single" w:sz="4" w:space="0" w:color="000000"/>
            </w:tcBorders>
            <w:shd w:val="clear" w:color="auto" w:fill="F2F2F2"/>
            <w:vAlign w:val="center"/>
          </w:tcPr>
          <w:p w:rsidR="004F2B45" w:rsidRPr="00182B87" w:rsidRDefault="004F2B45" w:rsidP="004F2B45">
            <w:pPr>
              <w:jc w:val="center"/>
              <w:rPr>
                <w:rFonts w:ascii="Tahoma" w:hAnsi="Tahoma" w:cs="Tahoma"/>
                <w:b/>
              </w:rPr>
            </w:pPr>
            <w:r w:rsidRPr="00182B87">
              <w:rPr>
                <w:rFonts w:ascii="Tahoma" w:hAnsi="Tahoma" w:cs="Tahoma"/>
                <w:b/>
              </w:rPr>
              <w:t>L.p.</w:t>
            </w:r>
          </w:p>
        </w:tc>
        <w:tc>
          <w:tcPr>
            <w:tcW w:w="7566" w:type="dxa"/>
            <w:tcBorders>
              <w:top w:val="single" w:sz="4" w:space="0" w:color="000000"/>
              <w:left w:val="single" w:sz="4" w:space="0" w:color="000000"/>
              <w:bottom w:val="single" w:sz="4" w:space="0" w:color="000000"/>
            </w:tcBorders>
            <w:shd w:val="clear" w:color="auto" w:fill="F2F2F2"/>
            <w:vAlign w:val="center"/>
          </w:tcPr>
          <w:p w:rsidR="004F2B45" w:rsidRPr="00182B87" w:rsidRDefault="004F2B45" w:rsidP="004F2B45">
            <w:pPr>
              <w:jc w:val="center"/>
              <w:rPr>
                <w:rFonts w:ascii="Tahoma" w:hAnsi="Tahoma" w:cs="Tahoma"/>
                <w:b/>
              </w:rPr>
            </w:pPr>
            <w:r w:rsidRPr="00182B87">
              <w:rPr>
                <w:rFonts w:ascii="Tahoma" w:hAnsi="Tahoma" w:cs="Tahoma"/>
                <w:b/>
              </w:rPr>
              <w:t>PARAMETR / WARUNEK</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F2B45" w:rsidRPr="00182B87" w:rsidRDefault="004F2B45" w:rsidP="004F2B45">
            <w:pPr>
              <w:jc w:val="center"/>
              <w:rPr>
                <w:rFonts w:ascii="Tahoma" w:hAnsi="Tahoma" w:cs="Tahoma"/>
                <w:b/>
              </w:rPr>
            </w:pPr>
            <w:r w:rsidRPr="00182B87">
              <w:rPr>
                <w:rFonts w:ascii="Tahoma" w:hAnsi="Tahoma" w:cs="Tahoma"/>
                <w:b/>
              </w:rPr>
              <w:t>Potwierdzenie</w:t>
            </w:r>
          </w:p>
          <w:p w:rsidR="004F2B45" w:rsidRPr="00182B87" w:rsidRDefault="004F2B45" w:rsidP="004F2B45">
            <w:pPr>
              <w:jc w:val="center"/>
              <w:rPr>
                <w:rFonts w:ascii="Tahoma" w:hAnsi="Tahoma" w:cs="Tahoma"/>
                <w:b/>
              </w:rPr>
            </w:pPr>
            <w:r w:rsidRPr="00182B87">
              <w:rPr>
                <w:rFonts w:ascii="Tahoma" w:hAnsi="Tahoma" w:cs="Tahoma"/>
                <w:b/>
              </w:rPr>
              <w:t>spełnienia wymaganych</w:t>
            </w:r>
          </w:p>
          <w:p w:rsidR="004F2B45" w:rsidRPr="00182B87" w:rsidRDefault="004F2B45" w:rsidP="004F2B45">
            <w:pPr>
              <w:jc w:val="center"/>
              <w:rPr>
                <w:rFonts w:ascii="Tahoma" w:hAnsi="Tahoma" w:cs="Tahoma"/>
                <w:b/>
              </w:rPr>
            </w:pPr>
            <w:r w:rsidRPr="00182B87">
              <w:rPr>
                <w:rFonts w:ascii="Tahoma" w:hAnsi="Tahoma" w:cs="Tahoma"/>
                <w:b/>
              </w:rPr>
              <w:t>parametrów/ warunków</w:t>
            </w:r>
          </w:p>
        </w:tc>
      </w:tr>
      <w:tr w:rsidR="004F2B45" w:rsidRPr="004F2B45" w:rsidTr="000A2169">
        <w:trPr>
          <w:trHeight w:val="521"/>
          <w:jc w:val="center"/>
        </w:trPr>
        <w:tc>
          <w:tcPr>
            <w:tcW w:w="798" w:type="dxa"/>
            <w:tcBorders>
              <w:top w:val="single" w:sz="4" w:space="0" w:color="000000"/>
              <w:left w:val="single" w:sz="4" w:space="0" w:color="000000"/>
              <w:bottom w:val="single" w:sz="4" w:space="0" w:color="000000"/>
            </w:tcBorders>
            <w:vAlign w:val="center"/>
          </w:tcPr>
          <w:p w:rsidR="004F2B45" w:rsidRPr="00182B87" w:rsidRDefault="004F2B45" w:rsidP="004F2B45">
            <w:pPr>
              <w:jc w:val="center"/>
              <w:rPr>
                <w:rFonts w:ascii="Tahoma" w:hAnsi="Tahoma" w:cs="Tahoma"/>
              </w:rPr>
            </w:pPr>
            <w:r w:rsidRPr="00182B87">
              <w:rPr>
                <w:rFonts w:ascii="Tahoma" w:hAnsi="Tahoma" w:cs="Tahoma"/>
              </w:rPr>
              <w:t>1</w:t>
            </w:r>
          </w:p>
        </w:tc>
        <w:tc>
          <w:tcPr>
            <w:tcW w:w="7566" w:type="dxa"/>
            <w:tcBorders>
              <w:top w:val="single" w:sz="4" w:space="0" w:color="000000"/>
              <w:left w:val="single" w:sz="4" w:space="0" w:color="000000"/>
              <w:bottom w:val="single" w:sz="4" w:space="0" w:color="000000"/>
            </w:tcBorders>
          </w:tcPr>
          <w:p w:rsidR="004F2B45" w:rsidRPr="00182B87" w:rsidRDefault="00182B87" w:rsidP="000A2169">
            <w:pPr>
              <w:rPr>
                <w:rFonts w:ascii="Tahoma" w:hAnsi="Tahoma" w:cs="Tahoma"/>
              </w:rPr>
            </w:pPr>
            <w:r w:rsidRPr="00182B87">
              <w:rPr>
                <w:rFonts w:ascii="Tahoma" w:hAnsi="Tahoma" w:cs="Tahoma"/>
              </w:rPr>
              <w:t>Paski do glukometru automatyczne zasysające krew do punktu pomiarowego tak, aby podczas nakładania krwi na pasek nie dochodziło do zabrudzenia glukometru</w:t>
            </w:r>
          </w:p>
        </w:tc>
        <w:tc>
          <w:tcPr>
            <w:tcW w:w="1842" w:type="dxa"/>
            <w:tcBorders>
              <w:top w:val="single" w:sz="4" w:space="0" w:color="000000"/>
              <w:left w:val="single" w:sz="4" w:space="0" w:color="000000"/>
              <w:bottom w:val="single" w:sz="4" w:space="0" w:color="000000"/>
              <w:right w:val="single" w:sz="4" w:space="0" w:color="000000"/>
            </w:tcBorders>
            <w:vAlign w:val="center"/>
          </w:tcPr>
          <w:p w:rsidR="004F2B45" w:rsidRPr="00182B87" w:rsidRDefault="004F2B45" w:rsidP="004F2B45">
            <w:pPr>
              <w:snapToGrid w:val="0"/>
              <w:jc w:val="center"/>
              <w:rPr>
                <w:rFonts w:ascii="Tahoma" w:hAnsi="Tahoma" w:cs="Tahoma"/>
              </w:rPr>
            </w:pPr>
          </w:p>
        </w:tc>
      </w:tr>
      <w:tr w:rsidR="004F2B45" w:rsidRPr="004F2B45" w:rsidTr="000A2169">
        <w:trPr>
          <w:jc w:val="center"/>
        </w:trPr>
        <w:tc>
          <w:tcPr>
            <w:tcW w:w="798" w:type="dxa"/>
            <w:tcBorders>
              <w:left w:val="single" w:sz="4" w:space="0" w:color="000000"/>
              <w:bottom w:val="single" w:sz="4" w:space="0" w:color="000000"/>
            </w:tcBorders>
            <w:vAlign w:val="center"/>
          </w:tcPr>
          <w:p w:rsidR="004F2B45" w:rsidRPr="00182B87" w:rsidRDefault="004F2B45" w:rsidP="004F2B45">
            <w:pPr>
              <w:jc w:val="center"/>
              <w:rPr>
                <w:rFonts w:ascii="Tahoma" w:hAnsi="Tahoma" w:cs="Tahoma"/>
              </w:rPr>
            </w:pPr>
            <w:r w:rsidRPr="00182B87">
              <w:rPr>
                <w:rFonts w:ascii="Tahoma" w:hAnsi="Tahoma" w:cs="Tahoma"/>
              </w:rPr>
              <w:t>2</w:t>
            </w:r>
          </w:p>
        </w:tc>
        <w:tc>
          <w:tcPr>
            <w:tcW w:w="7566" w:type="dxa"/>
            <w:tcBorders>
              <w:left w:val="single" w:sz="4" w:space="0" w:color="000000"/>
              <w:bottom w:val="single" w:sz="4" w:space="0" w:color="000000"/>
            </w:tcBorders>
          </w:tcPr>
          <w:p w:rsidR="0067316A" w:rsidRPr="0067316A" w:rsidRDefault="0067316A" w:rsidP="0067316A">
            <w:pPr>
              <w:jc w:val="both"/>
              <w:rPr>
                <w:rFonts w:ascii="Tahoma" w:hAnsi="Tahoma" w:cs="Tahoma"/>
              </w:rPr>
            </w:pPr>
            <w:r w:rsidRPr="0067316A">
              <w:rPr>
                <w:rFonts w:ascii="Tahoma" w:hAnsi="Tahoma" w:cs="Tahoma"/>
              </w:rPr>
              <w:t>Glukometr oznakowany symbolem CE współpracujący z oferowanymi paskami, spełniającymi następujące parametry:</w:t>
            </w:r>
          </w:p>
          <w:p w:rsidR="0067316A" w:rsidRPr="0067316A" w:rsidRDefault="0067316A" w:rsidP="0067316A">
            <w:pPr>
              <w:jc w:val="both"/>
              <w:rPr>
                <w:rFonts w:ascii="Tahoma" w:hAnsi="Tahoma" w:cs="Tahoma"/>
              </w:rPr>
            </w:pPr>
            <w:r w:rsidRPr="0067316A">
              <w:rPr>
                <w:rFonts w:ascii="Tahoma" w:hAnsi="Tahoma" w:cs="Tahoma"/>
              </w:rPr>
              <w:t>- czas wykonania pomiaru – do 10 sekund</w:t>
            </w:r>
          </w:p>
          <w:p w:rsidR="0067316A" w:rsidRPr="0067316A" w:rsidRDefault="0067316A" w:rsidP="0067316A">
            <w:pPr>
              <w:jc w:val="both"/>
              <w:rPr>
                <w:rFonts w:ascii="Tahoma" w:hAnsi="Tahoma" w:cs="Tahoma"/>
              </w:rPr>
            </w:pPr>
            <w:r w:rsidRPr="0067316A">
              <w:rPr>
                <w:rFonts w:ascii="Tahoma" w:hAnsi="Tahoma" w:cs="Tahoma"/>
              </w:rPr>
              <w:t xml:space="preserve">- objętość pobieranej krwi do badania – poniżej 2 </w:t>
            </w:r>
            <w:proofErr w:type="spellStart"/>
            <w:r w:rsidRPr="0067316A">
              <w:rPr>
                <w:rFonts w:ascii="Tahoma" w:hAnsi="Tahoma" w:cs="Tahoma"/>
              </w:rPr>
              <w:t>mikrolitrów</w:t>
            </w:r>
            <w:proofErr w:type="spellEnd"/>
          </w:p>
          <w:p w:rsidR="0067316A" w:rsidRPr="0067316A" w:rsidRDefault="0067316A" w:rsidP="0067316A">
            <w:pPr>
              <w:jc w:val="both"/>
              <w:rPr>
                <w:rFonts w:ascii="Tahoma" w:hAnsi="Tahoma" w:cs="Tahoma"/>
              </w:rPr>
            </w:pPr>
            <w:r w:rsidRPr="0067316A">
              <w:rPr>
                <w:rFonts w:ascii="Tahoma" w:hAnsi="Tahoma" w:cs="Tahoma"/>
              </w:rPr>
              <w:t>- wynik wyrażony w mg/dl</w:t>
            </w:r>
          </w:p>
          <w:p w:rsidR="0067316A" w:rsidRPr="0067316A" w:rsidRDefault="0067316A" w:rsidP="0067316A">
            <w:pPr>
              <w:jc w:val="both"/>
              <w:rPr>
                <w:rFonts w:ascii="Tahoma" w:hAnsi="Tahoma" w:cs="Tahoma"/>
                <w:b/>
              </w:rPr>
            </w:pPr>
            <w:r w:rsidRPr="0067316A">
              <w:rPr>
                <w:rFonts w:ascii="Tahoma" w:hAnsi="Tahoma" w:cs="Tahoma"/>
                <w:b/>
              </w:rPr>
              <w:t>Glukometr spełniający wymagania Zamawiającego dotyczące dokładności – badania przy użyciu 2 wybranych losowo glukometrów przeprowadzone zostaną w Laboratorium Centralnym SPWSZ przez 2 kolejne dni:</w:t>
            </w:r>
          </w:p>
          <w:p w:rsidR="0067316A" w:rsidRPr="0067316A" w:rsidRDefault="0067316A" w:rsidP="0067316A">
            <w:pPr>
              <w:jc w:val="both"/>
              <w:rPr>
                <w:rFonts w:ascii="Tahoma" w:hAnsi="Tahoma" w:cs="Tahoma"/>
              </w:rPr>
            </w:pPr>
            <w:r w:rsidRPr="0067316A">
              <w:rPr>
                <w:rFonts w:ascii="Tahoma" w:hAnsi="Tahoma" w:cs="Tahoma"/>
                <w:b/>
              </w:rPr>
              <w:t xml:space="preserve">a/ </w:t>
            </w:r>
            <w:r w:rsidRPr="0067316A">
              <w:rPr>
                <w:rFonts w:ascii="Tahoma" w:hAnsi="Tahoma" w:cs="Tahoma"/>
              </w:rPr>
              <w:t>dostarczone zostaną materiały kontrolne – 2 poziomy:</w:t>
            </w:r>
          </w:p>
          <w:p w:rsidR="0067316A" w:rsidRPr="0067316A" w:rsidRDefault="0067316A" w:rsidP="0067316A">
            <w:pPr>
              <w:jc w:val="both"/>
              <w:rPr>
                <w:rFonts w:ascii="Tahoma" w:hAnsi="Tahoma" w:cs="Tahoma"/>
              </w:rPr>
            </w:pPr>
            <w:r w:rsidRPr="0067316A">
              <w:rPr>
                <w:rFonts w:ascii="Tahoma" w:hAnsi="Tahoma" w:cs="Tahoma"/>
              </w:rPr>
              <w:t xml:space="preserve">- poziom niski - poniżej 100 mg/dl, gdzie zakres pomiędzy wartością minimalną i maksymalną stanowi </w:t>
            </w:r>
            <w:r w:rsidRPr="0067316A">
              <w:rPr>
                <w:rFonts w:ascii="Tahoma" w:hAnsi="Tahoma" w:cs="Tahoma"/>
                <w:u w:val="single"/>
              </w:rPr>
              <w:t>nie więcej</w:t>
            </w:r>
            <w:r w:rsidRPr="0067316A">
              <w:rPr>
                <w:rFonts w:ascii="Tahoma" w:hAnsi="Tahoma" w:cs="Tahoma"/>
              </w:rPr>
              <w:t xml:space="preserve"> niż 30 mg/dl </w:t>
            </w:r>
          </w:p>
          <w:p w:rsidR="0067316A" w:rsidRPr="0067316A" w:rsidRDefault="0067316A" w:rsidP="0067316A">
            <w:pPr>
              <w:jc w:val="both"/>
              <w:rPr>
                <w:rFonts w:ascii="Tahoma" w:hAnsi="Tahoma" w:cs="Tahoma"/>
              </w:rPr>
            </w:pPr>
            <w:r w:rsidRPr="0067316A">
              <w:rPr>
                <w:rFonts w:ascii="Tahoma" w:hAnsi="Tahoma" w:cs="Tahoma"/>
              </w:rPr>
              <w:t xml:space="preserve">- poziom wysoki – powyżej 100 mg/dl gdzie zakres pomiędzy wartością minimalną i maksymalną stanowi </w:t>
            </w:r>
            <w:r w:rsidRPr="0067316A">
              <w:rPr>
                <w:rFonts w:ascii="Tahoma" w:hAnsi="Tahoma" w:cs="Tahoma"/>
                <w:u w:val="single"/>
              </w:rPr>
              <w:t>nie więcej</w:t>
            </w:r>
            <w:r w:rsidRPr="0067316A">
              <w:rPr>
                <w:rFonts w:ascii="Tahoma" w:hAnsi="Tahoma" w:cs="Tahoma"/>
              </w:rPr>
              <w:t xml:space="preserve"> niż 100 mg/dl</w:t>
            </w:r>
          </w:p>
          <w:p w:rsidR="0067316A" w:rsidRPr="0067316A" w:rsidRDefault="0067316A" w:rsidP="0067316A">
            <w:pPr>
              <w:jc w:val="both"/>
              <w:rPr>
                <w:rFonts w:ascii="Tahoma" w:hAnsi="Tahoma" w:cs="Tahoma"/>
              </w:rPr>
            </w:pPr>
            <w:r w:rsidRPr="0067316A">
              <w:rPr>
                <w:rFonts w:ascii="Tahoma" w:hAnsi="Tahoma" w:cs="Tahoma"/>
                <w:b/>
              </w:rPr>
              <w:t>b/</w:t>
            </w:r>
            <w:r w:rsidRPr="0067316A">
              <w:rPr>
                <w:rFonts w:ascii="Tahoma" w:hAnsi="Tahoma" w:cs="Tahoma"/>
              </w:rPr>
              <w:t xml:space="preserve"> wszystkie pomiary kontrolne (po 2 oznaczenia przez 2 kolejne dni) wykonane przy użyciu materiału kontrolnego dostarczonego przez Wykonawcę znajdują się w zakresie podanym przez producenta,</w:t>
            </w:r>
          </w:p>
          <w:p w:rsidR="0067316A" w:rsidRPr="0067316A" w:rsidRDefault="0067316A" w:rsidP="0067316A">
            <w:pPr>
              <w:jc w:val="both"/>
              <w:rPr>
                <w:rFonts w:ascii="Tahoma" w:hAnsi="Tahoma" w:cs="Tahoma"/>
              </w:rPr>
            </w:pPr>
            <w:r w:rsidRPr="0067316A">
              <w:rPr>
                <w:rFonts w:ascii="Tahoma" w:hAnsi="Tahoma" w:cs="Tahoma"/>
                <w:b/>
              </w:rPr>
              <w:t>c/</w:t>
            </w:r>
            <w:r w:rsidRPr="0067316A">
              <w:rPr>
                <w:rFonts w:ascii="Tahoma" w:hAnsi="Tahoma" w:cs="Tahoma"/>
              </w:rPr>
              <w:t xml:space="preserve"> 95 % pomiarów wykonanych we krwi pacjenta z wartością hematokrytu 30-55% (po 5 oznaczeń przez dwa kolejne dni) znajduje się w zakresie:</w:t>
            </w:r>
          </w:p>
          <w:p w:rsidR="0067316A" w:rsidRPr="0067316A" w:rsidRDefault="0067316A" w:rsidP="0067316A">
            <w:pPr>
              <w:jc w:val="both"/>
              <w:rPr>
                <w:rFonts w:ascii="Tahoma" w:hAnsi="Tahoma" w:cs="Tahoma"/>
              </w:rPr>
            </w:pPr>
            <w:r w:rsidRPr="0067316A">
              <w:rPr>
                <w:rFonts w:ascii="Tahoma" w:hAnsi="Tahoma" w:cs="Tahoma"/>
                <w:b/>
              </w:rPr>
              <w:t xml:space="preserve">Dla stężeń poniżej 100 mg/dl : </w:t>
            </w:r>
            <w:r w:rsidRPr="0067316A">
              <w:rPr>
                <w:rFonts w:ascii="Tahoma" w:hAnsi="Tahoma" w:cs="Tahoma"/>
              </w:rPr>
              <w:t>± 15 mg/dl w porównaniu do wyniku uzyskanego metodą referencyjną.</w:t>
            </w:r>
          </w:p>
          <w:p w:rsidR="0067316A" w:rsidRPr="00182B87" w:rsidRDefault="0067316A" w:rsidP="0067316A">
            <w:pPr>
              <w:jc w:val="both"/>
              <w:rPr>
                <w:rFonts w:ascii="Tahoma" w:hAnsi="Tahoma" w:cs="Tahoma"/>
              </w:rPr>
            </w:pPr>
            <w:r w:rsidRPr="00182B87">
              <w:rPr>
                <w:rFonts w:ascii="Tahoma" w:hAnsi="Tahoma" w:cs="Tahoma"/>
                <w:b/>
              </w:rPr>
              <w:t>Dla stężeń ≥ 100 mg/dl</w:t>
            </w:r>
            <w:r w:rsidRPr="00182B87">
              <w:rPr>
                <w:rFonts w:ascii="Tahoma" w:hAnsi="Tahoma" w:cs="Tahoma"/>
              </w:rPr>
              <w:t>:  ± 15 % w porównaniu do wyniku uzyskanego metodą referencyjną.</w:t>
            </w:r>
          </w:p>
          <w:p w:rsidR="004F2B45" w:rsidRPr="00182B87" w:rsidRDefault="0067316A" w:rsidP="0067316A">
            <w:pPr>
              <w:rPr>
                <w:rFonts w:ascii="Tahoma" w:hAnsi="Tahoma" w:cs="Tahoma"/>
                <w:b/>
              </w:rPr>
            </w:pPr>
            <w:r w:rsidRPr="00182B87">
              <w:rPr>
                <w:rFonts w:ascii="Tahoma" w:hAnsi="Tahoma" w:cs="Tahoma"/>
              </w:rPr>
              <w:t xml:space="preserve">Metoda referencyjna: z </w:t>
            </w:r>
            <w:proofErr w:type="spellStart"/>
            <w:r w:rsidRPr="00182B87">
              <w:rPr>
                <w:rFonts w:ascii="Tahoma" w:hAnsi="Tahoma" w:cs="Tahoma"/>
              </w:rPr>
              <w:t>heksokinazą</w:t>
            </w:r>
            <w:proofErr w:type="spellEnd"/>
            <w:r w:rsidRPr="00182B87">
              <w:rPr>
                <w:rFonts w:ascii="Tahoma" w:hAnsi="Tahoma" w:cs="Tahoma"/>
              </w:rPr>
              <w:t xml:space="preserve">, </w:t>
            </w:r>
            <w:proofErr w:type="spellStart"/>
            <w:r w:rsidRPr="00182B87">
              <w:rPr>
                <w:rFonts w:ascii="Tahoma" w:hAnsi="Tahoma" w:cs="Tahoma"/>
              </w:rPr>
              <w:t>cobas</w:t>
            </w:r>
            <w:proofErr w:type="spellEnd"/>
            <w:r w:rsidRPr="00182B87">
              <w:rPr>
                <w:rFonts w:ascii="Tahoma" w:hAnsi="Tahoma" w:cs="Tahoma"/>
              </w:rPr>
              <w:t xml:space="preserve"> 6000/ c501 firmy Roche Diagnostics Polska Sp. </w:t>
            </w:r>
            <w:proofErr w:type="spellStart"/>
            <w:r w:rsidRPr="00182B87">
              <w:rPr>
                <w:rFonts w:ascii="Tahoma" w:hAnsi="Tahoma" w:cs="Tahoma"/>
              </w:rPr>
              <w:t>zo.o</w:t>
            </w:r>
            <w:proofErr w:type="spellEnd"/>
            <w:r w:rsidRPr="00182B87">
              <w:rPr>
                <w:rFonts w:ascii="Tahoma" w:hAnsi="Tahoma" w:cs="Tahoma"/>
              </w:rPr>
              <w:t>. z wykorzystaniem próbek hemolizowanych krwi pełnej. Wartości stężenia glukozy w osoczu wyrażone w jednostkach: mg/dl.</w:t>
            </w:r>
          </w:p>
        </w:tc>
        <w:tc>
          <w:tcPr>
            <w:tcW w:w="1842" w:type="dxa"/>
            <w:tcBorders>
              <w:left w:val="single" w:sz="4" w:space="0" w:color="000000"/>
              <w:bottom w:val="single" w:sz="4" w:space="0" w:color="000000"/>
              <w:right w:val="single" w:sz="4" w:space="0" w:color="000000"/>
            </w:tcBorders>
            <w:vAlign w:val="center"/>
          </w:tcPr>
          <w:p w:rsidR="004F2B45" w:rsidRPr="00182B87" w:rsidRDefault="004F2B45" w:rsidP="004F2B45">
            <w:pPr>
              <w:snapToGrid w:val="0"/>
              <w:jc w:val="center"/>
              <w:rPr>
                <w:rFonts w:ascii="Tahoma" w:hAnsi="Tahoma" w:cs="Tahoma"/>
              </w:rPr>
            </w:pPr>
          </w:p>
        </w:tc>
      </w:tr>
      <w:tr w:rsidR="004F2B45" w:rsidRPr="004F2B45" w:rsidTr="000A2169">
        <w:trPr>
          <w:jc w:val="center"/>
        </w:trPr>
        <w:tc>
          <w:tcPr>
            <w:tcW w:w="798" w:type="dxa"/>
            <w:tcBorders>
              <w:left w:val="single" w:sz="4" w:space="0" w:color="000000"/>
              <w:bottom w:val="single" w:sz="4" w:space="0" w:color="000000"/>
            </w:tcBorders>
            <w:vAlign w:val="center"/>
          </w:tcPr>
          <w:p w:rsidR="004F2B45" w:rsidRPr="00182B87" w:rsidRDefault="004F2B45" w:rsidP="004F2B45">
            <w:pPr>
              <w:jc w:val="center"/>
              <w:rPr>
                <w:rFonts w:ascii="Tahoma" w:hAnsi="Tahoma" w:cs="Tahoma"/>
              </w:rPr>
            </w:pPr>
            <w:r w:rsidRPr="00182B87">
              <w:rPr>
                <w:rFonts w:ascii="Tahoma" w:hAnsi="Tahoma" w:cs="Tahoma"/>
              </w:rPr>
              <w:t>3</w:t>
            </w:r>
          </w:p>
        </w:tc>
        <w:tc>
          <w:tcPr>
            <w:tcW w:w="7566" w:type="dxa"/>
            <w:tcBorders>
              <w:left w:val="single" w:sz="4" w:space="0" w:color="000000"/>
              <w:bottom w:val="single" w:sz="4" w:space="0" w:color="000000"/>
            </w:tcBorders>
          </w:tcPr>
          <w:p w:rsidR="004F2B45" w:rsidRPr="00182B87" w:rsidRDefault="00182B87" w:rsidP="000A2169">
            <w:pPr>
              <w:jc w:val="both"/>
              <w:rPr>
                <w:rFonts w:ascii="Tahoma" w:hAnsi="Tahoma" w:cs="Tahoma"/>
              </w:rPr>
            </w:pPr>
            <w:r w:rsidRPr="00182B87">
              <w:rPr>
                <w:rFonts w:ascii="Tahoma" w:hAnsi="Tahoma" w:cs="Tahoma"/>
              </w:rPr>
              <w:t>Wszystkie akcesoria do glukometru (paski, materiały kontrolne) ze znakiem IVD</w:t>
            </w:r>
          </w:p>
        </w:tc>
        <w:tc>
          <w:tcPr>
            <w:tcW w:w="1842" w:type="dxa"/>
            <w:tcBorders>
              <w:left w:val="single" w:sz="4" w:space="0" w:color="000000"/>
              <w:bottom w:val="single" w:sz="4" w:space="0" w:color="000000"/>
              <w:right w:val="single" w:sz="4" w:space="0" w:color="000000"/>
            </w:tcBorders>
            <w:vAlign w:val="center"/>
          </w:tcPr>
          <w:p w:rsidR="004F2B45" w:rsidRPr="00182B87" w:rsidRDefault="004F2B45" w:rsidP="004F2B45">
            <w:pPr>
              <w:snapToGrid w:val="0"/>
              <w:jc w:val="center"/>
              <w:rPr>
                <w:rFonts w:ascii="Tahoma" w:hAnsi="Tahoma" w:cs="Tahoma"/>
              </w:rPr>
            </w:pPr>
          </w:p>
        </w:tc>
      </w:tr>
      <w:tr w:rsidR="004F2B45" w:rsidRPr="004F2B45" w:rsidTr="000A2169">
        <w:trPr>
          <w:jc w:val="center"/>
        </w:trPr>
        <w:tc>
          <w:tcPr>
            <w:tcW w:w="798" w:type="dxa"/>
            <w:tcBorders>
              <w:top w:val="single" w:sz="4" w:space="0" w:color="000000"/>
              <w:left w:val="single" w:sz="4" w:space="0" w:color="000000"/>
              <w:bottom w:val="single" w:sz="4" w:space="0" w:color="000000"/>
            </w:tcBorders>
            <w:vAlign w:val="center"/>
          </w:tcPr>
          <w:p w:rsidR="004F2B45" w:rsidRPr="00182B87" w:rsidRDefault="004F2B45" w:rsidP="004F2B45">
            <w:pPr>
              <w:jc w:val="center"/>
              <w:rPr>
                <w:rFonts w:ascii="Tahoma" w:hAnsi="Tahoma" w:cs="Tahoma"/>
              </w:rPr>
            </w:pPr>
            <w:r w:rsidRPr="00182B87">
              <w:rPr>
                <w:rFonts w:ascii="Tahoma" w:hAnsi="Tahoma" w:cs="Tahoma"/>
              </w:rPr>
              <w:t>4</w:t>
            </w:r>
          </w:p>
        </w:tc>
        <w:tc>
          <w:tcPr>
            <w:tcW w:w="7566" w:type="dxa"/>
            <w:tcBorders>
              <w:top w:val="single" w:sz="4" w:space="0" w:color="000000"/>
              <w:left w:val="single" w:sz="4" w:space="0" w:color="000000"/>
              <w:bottom w:val="single" w:sz="4" w:space="0" w:color="000000"/>
            </w:tcBorders>
          </w:tcPr>
          <w:p w:rsidR="004F2B45" w:rsidRPr="00182B87" w:rsidRDefault="00182B87" w:rsidP="000A2169">
            <w:pPr>
              <w:rPr>
                <w:rFonts w:ascii="Tahoma" w:hAnsi="Tahoma" w:cs="Tahoma"/>
              </w:rPr>
            </w:pPr>
            <w:r w:rsidRPr="00182B87">
              <w:rPr>
                <w:rFonts w:ascii="Tahoma" w:hAnsi="Tahoma" w:cs="Tahoma"/>
              </w:rPr>
              <w:t xml:space="preserve">Nakłuwacze jednorazowe ( z igłą wysuwającą się i chowającą się w obudowie jednorazowo i automatycznie przez naciśnięcie ) </w:t>
            </w:r>
            <w:r w:rsidRPr="00182B87">
              <w:rPr>
                <w:rFonts w:ascii="Tahoma" w:hAnsi="Tahoma" w:cs="Tahoma"/>
                <w:b/>
              </w:rPr>
              <w:t xml:space="preserve">głębokość nakłucia </w:t>
            </w:r>
            <w:smartTag w:uri="urn:schemas-microsoft-com:office:smarttags" w:element="metricconverter">
              <w:smartTagPr>
                <w:attr w:name="ProductID" w:val="1,8 mm"/>
              </w:smartTagPr>
              <w:r w:rsidRPr="00182B87">
                <w:rPr>
                  <w:rFonts w:ascii="Tahoma" w:hAnsi="Tahoma" w:cs="Tahoma"/>
                  <w:b/>
                </w:rPr>
                <w:t>1,8 mm</w:t>
              </w:r>
            </w:smartTag>
          </w:p>
        </w:tc>
        <w:tc>
          <w:tcPr>
            <w:tcW w:w="1842" w:type="dxa"/>
            <w:tcBorders>
              <w:top w:val="single" w:sz="4" w:space="0" w:color="000000"/>
              <w:left w:val="single" w:sz="4" w:space="0" w:color="000000"/>
              <w:bottom w:val="single" w:sz="4" w:space="0" w:color="000000"/>
              <w:right w:val="single" w:sz="4" w:space="0" w:color="000000"/>
            </w:tcBorders>
            <w:vAlign w:val="center"/>
          </w:tcPr>
          <w:p w:rsidR="004F2B45" w:rsidRPr="00182B87" w:rsidRDefault="004F2B45" w:rsidP="004F2B45">
            <w:pPr>
              <w:snapToGrid w:val="0"/>
              <w:jc w:val="center"/>
              <w:rPr>
                <w:rFonts w:ascii="Tahoma" w:hAnsi="Tahoma" w:cs="Tahoma"/>
              </w:rPr>
            </w:pPr>
          </w:p>
        </w:tc>
      </w:tr>
      <w:tr w:rsidR="004F2B45" w:rsidRPr="004F2B45" w:rsidTr="000A2169">
        <w:trPr>
          <w:jc w:val="center"/>
        </w:trPr>
        <w:tc>
          <w:tcPr>
            <w:tcW w:w="798" w:type="dxa"/>
            <w:tcBorders>
              <w:top w:val="single" w:sz="4" w:space="0" w:color="000000"/>
              <w:left w:val="single" w:sz="4" w:space="0" w:color="000000"/>
              <w:bottom w:val="single" w:sz="4" w:space="0" w:color="000000"/>
            </w:tcBorders>
            <w:vAlign w:val="center"/>
          </w:tcPr>
          <w:p w:rsidR="004F2B45" w:rsidRPr="00182B87" w:rsidRDefault="004F2B45" w:rsidP="004F2B45">
            <w:pPr>
              <w:jc w:val="center"/>
              <w:rPr>
                <w:rFonts w:ascii="Tahoma" w:hAnsi="Tahoma" w:cs="Tahoma"/>
              </w:rPr>
            </w:pPr>
            <w:r w:rsidRPr="00182B87">
              <w:rPr>
                <w:rFonts w:ascii="Tahoma" w:hAnsi="Tahoma" w:cs="Tahoma"/>
              </w:rPr>
              <w:t>5</w:t>
            </w:r>
          </w:p>
        </w:tc>
        <w:tc>
          <w:tcPr>
            <w:tcW w:w="7566" w:type="dxa"/>
            <w:tcBorders>
              <w:top w:val="single" w:sz="4" w:space="0" w:color="000000"/>
              <w:left w:val="single" w:sz="4" w:space="0" w:color="000000"/>
              <w:bottom w:val="single" w:sz="4" w:space="0" w:color="000000"/>
            </w:tcBorders>
          </w:tcPr>
          <w:p w:rsidR="004F2B45" w:rsidRPr="00182B87" w:rsidRDefault="00182B87" w:rsidP="000A2169">
            <w:pPr>
              <w:rPr>
                <w:rFonts w:ascii="Tahoma" w:hAnsi="Tahoma" w:cs="Tahoma"/>
              </w:rPr>
            </w:pPr>
            <w:r w:rsidRPr="00182B87">
              <w:rPr>
                <w:rFonts w:ascii="Tahoma" w:hAnsi="Tahoma" w:cs="Tahoma"/>
              </w:rPr>
              <w:t>W przypadku zaoferowania glukometrów z niewymienną baterią Wykonawca dokonuje wymiany  ( na swój koszt ) uszkodzonego urządzenia na nowe, w ciągu dwóch dni od daty zgłoszenia</w:t>
            </w:r>
          </w:p>
        </w:tc>
        <w:tc>
          <w:tcPr>
            <w:tcW w:w="1842" w:type="dxa"/>
            <w:tcBorders>
              <w:top w:val="single" w:sz="4" w:space="0" w:color="000000"/>
              <w:left w:val="single" w:sz="4" w:space="0" w:color="000000"/>
              <w:bottom w:val="single" w:sz="4" w:space="0" w:color="000000"/>
              <w:right w:val="single" w:sz="4" w:space="0" w:color="000000"/>
            </w:tcBorders>
            <w:vAlign w:val="center"/>
          </w:tcPr>
          <w:p w:rsidR="004F2B45" w:rsidRPr="00182B87" w:rsidRDefault="004F2B45" w:rsidP="004F2B45">
            <w:pPr>
              <w:snapToGrid w:val="0"/>
              <w:jc w:val="center"/>
              <w:rPr>
                <w:rFonts w:ascii="Tahoma" w:hAnsi="Tahoma" w:cs="Tahoma"/>
              </w:rPr>
            </w:pPr>
          </w:p>
        </w:tc>
      </w:tr>
      <w:tr w:rsidR="004F2B45" w:rsidRPr="004F2B45" w:rsidTr="000A2169">
        <w:trPr>
          <w:jc w:val="center"/>
        </w:trPr>
        <w:tc>
          <w:tcPr>
            <w:tcW w:w="798" w:type="dxa"/>
            <w:tcBorders>
              <w:top w:val="single" w:sz="4" w:space="0" w:color="000000"/>
              <w:left w:val="single" w:sz="4" w:space="0" w:color="000000"/>
              <w:bottom w:val="single" w:sz="4" w:space="0" w:color="000000"/>
            </w:tcBorders>
            <w:vAlign w:val="center"/>
          </w:tcPr>
          <w:p w:rsidR="004F2B45" w:rsidRPr="00182B87" w:rsidRDefault="004F2B45" w:rsidP="004F2B45">
            <w:pPr>
              <w:jc w:val="center"/>
              <w:rPr>
                <w:rFonts w:ascii="Tahoma" w:hAnsi="Tahoma" w:cs="Tahoma"/>
              </w:rPr>
            </w:pPr>
            <w:r w:rsidRPr="00182B87">
              <w:rPr>
                <w:rFonts w:ascii="Tahoma" w:hAnsi="Tahoma" w:cs="Tahoma"/>
              </w:rPr>
              <w:t>6</w:t>
            </w:r>
          </w:p>
        </w:tc>
        <w:tc>
          <w:tcPr>
            <w:tcW w:w="7566" w:type="dxa"/>
            <w:tcBorders>
              <w:top w:val="single" w:sz="4" w:space="0" w:color="000000"/>
              <w:left w:val="single" w:sz="4" w:space="0" w:color="000000"/>
              <w:bottom w:val="single" w:sz="4" w:space="0" w:color="000000"/>
            </w:tcBorders>
          </w:tcPr>
          <w:p w:rsidR="004F2B45" w:rsidRPr="00182B87" w:rsidRDefault="00182B87" w:rsidP="000A2169">
            <w:pPr>
              <w:rPr>
                <w:rFonts w:ascii="Tahoma" w:hAnsi="Tahoma" w:cs="Tahoma"/>
              </w:rPr>
            </w:pPr>
            <w:r w:rsidRPr="00182B87">
              <w:rPr>
                <w:rFonts w:ascii="Tahoma" w:hAnsi="Tahoma" w:cs="Tahoma"/>
              </w:rPr>
              <w:t>W przypadku zaoferowania glukometrów z wymienną baterią Wykonawca ma obowiązek dostarczyć ( na swój koszt ) nowych baterii w ciągu dwóch dni od daty zgłoszenia</w:t>
            </w:r>
          </w:p>
        </w:tc>
        <w:tc>
          <w:tcPr>
            <w:tcW w:w="1842" w:type="dxa"/>
            <w:tcBorders>
              <w:top w:val="single" w:sz="4" w:space="0" w:color="000000"/>
              <w:left w:val="single" w:sz="4" w:space="0" w:color="000000"/>
              <w:bottom w:val="single" w:sz="4" w:space="0" w:color="000000"/>
              <w:right w:val="single" w:sz="4" w:space="0" w:color="000000"/>
            </w:tcBorders>
            <w:vAlign w:val="center"/>
          </w:tcPr>
          <w:p w:rsidR="004F2B45" w:rsidRPr="00182B87" w:rsidRDefault="004F2B45" w:rsidP="004F2B45">
            <w:pPr>
              <w:snapToGrid w:val="0"/>
              <w:jc w:val="center"/>
              <w:rPr>
                <w:rFonts w:ascii="Tahoma" w:hAnsi="Tahoma" w:cs="Tahoma"/>
              </w:rPr>
            </w:pPr>
          </w:p>
        </w:tc>
      </w:tr>
      <w:tr w:rsidR="004F2B45" w:rsidRPr="004F2B45" w:rsidTr="000A2169">
        <w:trPr>
          <w:jc w:val="center"/>
        </w:trPr>
        <w:tc>
          <w:tcPr>
            <w:tcW w:w="798" w:type="dxa"/>
            <w:tcBorders>
              <w:top w:val="single" w:sz="4" w:space="0" w:color="000000"/>
              <w:left w:val="single" w:sz="4" w:space="0" w:color="000000"/>
              <w:bottom w:val="single" w:sz="4" w:space="0" w:color="000000"/>
            </w:tcBorders>
            <w:vAlign w:val="center"/>
          </w:tcPr>
          <w:p w:rsidR="004F2B45" w:rsidRPr="00182B87" w:rsidRDefault="004F2B45" w:rsidP="004F2B45">
            <w:pPr>
              <w:jc w:val="center"/>
              <w:rPr>
                <w:rFonts w:ascii="Tahoma" w:hAnsi="Tahoma" w:cs="Tahoma"/>
              </w:rPr>
            </w:pPr>
            <w:r w:rsidRPr="00182B87">
              <w:rPr>
                <w:rFonts w:ascii="Tahoma" w:hAnsi="Tahoma" w:cs="Tahoma"/>
              </w:rPr>
              <w:t>7</w:t>
            </w:r>
          </w:p>
        </w:tc>
        <w:tc>
          <w:tcPr>
            <w:tcW w:w="7566" w:type="dxa"/>
            <w:tcBorders>
              <w:top w:val="single" w:sz="4" w:space="0" w:color="000000"/>
              <w:left w:val="single" w:sz="4" w:space="0" w:color="000000"/>
              <w:bottom w:val="single" w:sz="4" w:space="0" w:color="000000"/>
            </w:tcBorders>
          </w:tcPr>
          <w:p w:rsidR="004F2B45" w:rsidRPr="00182B87" w:rsidRDefault="00182B87" w:rsidP="000A2169">
            <w:pPr>
              <w:rPr>
                <w:rFonts w:ascii="Tahoma" w:hAnsi="Tahoma" w:cs="Tahoma"/>
              </w:rPr>
            </w:pPr>
            <w:r w:rsidRPr="00182B87">
              <w:rPr>
                <w:rFonts w:ascii="Tahoma" w:hAnsi="Tahoma" w:cs="Tahoma"/>
              </w:rPr>
              <w:t>W przypadku uszkodzenia glukometru Wykonawca dokonuje wymiany ( na swój koszt ) uszkodzonego urządzenia na nowe, w ciągu dwóch dni od daty zgłoszenia</w:t>
            </w:r>
          </w:p>
        </w:tc>
        <w:tc>
          <w:tcPr>
            <w:tcW w:w="1842" w:type="dxa"/>
            <w:tcBorders>
              <w:top w:val="single" w:sz="4" w:space="0" w:color="000000"/>
              <w:left w:val="single" w:sz="4" w:space="0" w:color="000000"/>
              <w:bottom w:val="single" w:sz="4" w:space="0" w:color="000000"/>
              <w:right w:val="single" w:sz="4" w:space="0" w:color="000000"/>
            </w:tcBorders>
            <w:vAlign w:val="center"/>
          </w:tcPr>
          <w:p w:rsidR="004F2B45" w:rsidRPr="00182B87" w:rsidRDefault="004F2B45" w:rsidP="004F2B45">
            <w:pPr>
              <w:snapToGrid w:val="0"/>
              <w:jc w:val="center"/>
              <w:rPr>
                <w:rFonts w:ascii="Tahoma" w:hAnsi="Tahoma" w:cs="Tahoma"/>
              </w:rPr>
            </w:pPr>
          </w:p>
        </w:tc>
      </w:tr>
      <w:tr w:rsidR="004F2B45" w:rsidRPr="004F2B45" w:rsidTr="000A2169">
        <w:trPr>
          <w:jc w:val="center"/>
        </w:trPr>
        <w:tc>
          <w:tcPr>
            <w:tcW w:w="798" w:type="dxa"/>
            <w:tcBorders>
              <w:top w:val="single" w:sz="4" w:space="0" w:color="000000"/>
              <w:left w:val="single" w:sz="4" w:space="0" w:color="000000"/>
              <w:bottom w:val="single" w:sz="4" w:space="0" w:color="000000"/>
            </w:tcBorders>
            <w:vAlign w:val="center"/>
          </w:tcPr>
          <w:p w:rsidR="004F2B45" w:rsidRPr="00182B87" w:rsidRDefault="004F2B45" w:rsidP="004F2B45">
            <w:pPr>
              <w:jc w:val="center"/>
              <w:rPr>
                <w:rFonts w:ascii="Tahoma" w:hAnsi="Tahoma" w:cs="Tahoma"/>
              </w:rPr>
            </w:pPr>
            <w:r w:rsidRPr="00182B87">
              <w:rPr>
                <w:rFonts w:ascii="Tahoma" w:hAnsi="Tahoma" w:cs="Tahoma"/>
              </w:rPr>
              <w:t>8</w:t>
            </w:r>
          </w:p>
        </w:tc>
        <w:tc>
          <w:tcPr>
            <w:tcW w:w="7566" w:type="dxa"/>
            <w:tcBorders>
              <w:top w:val="single" w:sz="4" w:space="0" w:color="000000"/>
              <w:left w:val="single" w:sz="4" w:space="0" w:color="000000"/>
              <w:bottom w:val="single" w:sz="4" w:space="0" w:color="000000"/>
            </w:tcBorders>
          </w:tcPr>
          <w:p w:rsidR="00182B87" w:rsidRPr="00182B87" w:rsidRDefault="00182B87" w:rsidP="00182B87">
            <w:pPr>
              <w:jc w:val="both"/>
              <w:rPr>
                <w:rFonts w:ascii="Tahoma" w:hAnsi="Tahoma" w:cs="Tahoma"/>
              </w:rPr>
            </w:pPr>
            <w:r w:rsidRPr="00182B87">
              <w:rPr>
                <w:rFonts w:ascii="Tahoma" w:hAnsi="Tahoma" w:cs="Tahoma"/>
              </w:rPr>
              <w:t>Wymagania dotyczące materiału kontrolnego (roztworów kontrolnych do glukometrów):</w:t>
            </w:r>
          </w:p>
          <w:p w:rsidR="00182B87" w:rsidRPr="00182B87" w:rsidRDefault="00182B87" w:rsidP="00182B87">
            <w:pPr>
              <w:jc w:val="both"/>
              <w:rPr>
                <w:rFonts w:ascii="Tahoma" w:hAnsi="Tahoma" w:cs="Tahoma"/>
              </w:rPr>
            </w:pPr>
            <w:r w:rsidRPr="00182B87">
              <w:rPr>
                <w:rFonts w:ascii="Tahoma" w:hAnsi="Tahoma" w:cs="Tahoma"/>
              </w:rPr>
              <w:t>- opakowanie zawierające 2 poziomy: niski i wysoki (minimum po 2 ml z każdego poziomu)</w:t>
            </w:r>
          </w:p>
          <w:p w:rsidR="00182B87" w:rsidRPr="00182B87" w:rsidRDefault="00182B87" w:rsidP="00182B87">
            <w:pPr>
              <w:jc w:val="both"/>
              <w:rPr>
                <w:rFonts w:ascii="Tahoma" w:hAnsi="Tahoma" w:cs="Tahoma"/>
              </w:rPr>
            </w:pPr>
            <w:r w:rsidRPr="00182B87">
              <w:rPr>
                <w:rFonts w:ascii="Tahoma" w:hAnsi="Tahoma" w:cs="Tahoma"/>
              </w:rPr>
              <w:t xml:space="preserve">-  poziom niski - poniżej 100 mg/dl, gdzie zakres pomiędzy wartością minimalną i maksymalną stanowi </w:t>
            </w:r>
            <w:r w:rsidRPr="00182B87">
              <w:rPr>
                <w:rFonts w:ascii="Tahoma" w:hAnsi="Tahoma" w:cs="Tahoma"/>
                <w:u w:val="single"/>
              </w:rPr>
              <w:t>nie więcej</w:t>
            </w:r>
            <w:r w:rsidRPr="00182B87">
              <w:rPr>
                <w:rFonts w:ascii="Tahoma" w:hAnsi="Tahoma" w:cs="Tahoma"/>
              </w:rPr>
              <w:t xml:space="preserve"> niż 30 mg/dl </w:t>
            </w:r>
          </w:p>
          <w:p w:rsidR="004F2B45" w:rsidRPr="00182B87" w:rsidRDefault="00182B87" w:rsidP="00182B87">
            <w:pPr>
              <w:jc w:val="both"/>
              <w:rPr>
                <w:rFonts w:ascii="Tahoma" w:hAnsi="Tahoma" w:cs="Tahoma"/>
              </w:rPr>
            </w:pPr>
            <w:r w:rsidRPr="00182B87">
              <w:rPr>
                <w:rFonts w:ascii="Tahoma" w:hAnsi="Tahoma" w:cs="Tahoma"/>
              </w:rPr>
              <w:t xml:space="preserve"> - poziom wysoki – powyżej 100 mg/dl gdzie zakres pomiędzy wartością minimalną i maksymalną stanowi </w:t>
            </w:r>
            <w:r w:rsidRPr="00182B87">
              <w:rPr>
                <w:rFonts w:ascii="Tahoma" w:hAnsi="Tahoma" w:cs="Tahoma"/>
                <w:u w:val="single"/>
              </w:rPr>
              <w:t>nie więcej</w:t>
            </w:r>
            <w:r w:rsidRPr="00182B87">
              <w:rPr>
                <w:rFonts w:ascii="Tahoma" w:hAnsi="Tahoma" w:cs="Tahoma"/>
              </w:rPr>
              <w:t xml:space="preserve"> niż 100 mg/dl</w:t>
            </w:r>
          </w:p>
        </w:tc>
        <w:tc>
          <w:tcPr>
            <w:tcW w:w="1842" w:type="dxa"/>
            <w:tcBorders>
              <w:top w:val="single" w:sz="4" w:space="0" w:color="000000"/>
              <w:left w:val="single" w:sz="4" w:space="0" w:color="000000"/>
              <w:bottom w:val="single" w:sz="4" w:space="0" w:color="000000"/>
              <w:right w:val="single" w:sz="4" w:space="0" w:color="000000"/>
            </w:tcBorders>
            <w:vAlign w:val="center"/>
          </w:tcPr>
          <w:p w:rsidR="004F2B45" w:rsidRPr="00182B87" w:rsidRDefault="004F2B45" w:rsidP="004F2B45">
            <w:pPr>
              <w:snapToGrid w:val="0"/>
              <w:jc w:val="center"/>
              <w:rPr>
                <w:rFonts w:ascii="Tahoma" w:hAnsi="Tahoma" w:cs="Tahoma"/>
              </w:rPr>
            </w:pPr>
          </w:p>
        </w:tc>
      </w:tr>
      <w:tr w:rsidR="0067316A" w:rsidRPr="0067316A" w:rsidTr="000A2169">
        <w:trPr>
          <w:jc w:val="center"/>
        </w:trPr>
        <w:tc>
          <w:tcPr>
            <w:tcW w:w="798" w:type="dxa"/>
            <w:tcBorders>
              <w:top w:val="single" w:sz="4" w:space="0" w:color="000000"/>
              <w:left w:val="single" w:sz="4" w:space="0" w:color="000000"/>
              <w:bottom w:val="single" w:sz="4" w:space="0" w:color="000000"/>
            </w:tcBorders>
            <w:vAlign w:val="center"/>
          </w:tcPr>
          <w:p w:rsidR="004F2B45" w:rsidRPr="0067316A" w:rsidRDefault="004F2B45" w:rsidP="004F2B45">
            <w:pPr>
              <w:jc w:val="center"/>
              <w:rPr>
                <w:rFonts w:ascii="Tahoma" w:hAnsi="Tahoma" w:cs="Tahoma"/>
                <w:highlight w:val="yellow"/>
              </w:rPr>
            </w:pPr>
            <w:r w:rsidRPr="0067316A">
              <w:rPr>
                <w:rFonts w:ascii="Tahoma" w:hAnsi="Tahoma" w:cs="Tahoma"/>
              </w:rPr>
              <w:t>9</w:t>
            </w:r>
          </w:p>
        </w:tc>
        <w:tc>
          <w:tcPr>
            <w:tcW w:w="7566" w:type="dxa"/>
            <w:tcBorders>
              <w:top w:val="single" w:sz="4" w:space="0" w:color="000000"/>
              <w:left w:val="single" w:sz="4" w:space="0" w:color="000000"/>
              <w:bottom w:val="single" w:sz="4" w:space="0" w:color="000000"/>
            </w:tcBorders>
          </w:tcPr>
          <w:p w:rsidR="00182B87" w:rsidRPr="0067316A" w:rsidRDefault="00182B87" w:rsidP="00182B87">
            <w:pPr>
              <w:jc w:val="both"/>
              <w:rPr>
                <w:rFonts w:ascii="Tahoma" w:hAnsi="Tahoma" w:cs="Tahoma"/>
              </w:rPr>
            </w:pPr>
            <w:r w:rsidRPr="0067316A">
              <w:rPr>
                <w:rFonts w:ascii="Tahoma" w:hAnsi="Tahoma" w:cs="Tahoma"/>
              </w:rPr>
              <w:t xml:space="preserve">Wykonawca zapewni udział i pokryje koszty kontroli międzylaboratoryjnej wraz z certyfikatami – minimum 1 raz w ciągu roku dla wszystkich glukometrów </w:t>
            </w:r>
            <w:r w:rsidRPr="0067316A">
              <w:rPr>
                <w:rFonts w:ascii="Tahoma" w:hAnsi="Tahoma" w:cs="Tahoma"/>
              </w:rPr>
              <w:lastRenderedPageBreak/>
              <w:t xml:space="preserve">znajdujących się w użyciu. Dostawcę kontroli międzylaboratoryjnej wybiera Wykonawca. </w:t>
            </w:r>
          </w:p>
          <w:p w:rsidR="00182B87" w:rsidRPr="0067316A" w:rsidRDefault="00182B87" w:rsidP="000A2169">
            <w:pPr>
              <w:jc w:val="both"/>
              <w:rPr>
                <w:rFonts w:ascii="Tahoma" w:hAnsi="Tahoma" w:cs="Tahoma"/>
              </w:rPr>
            </w:pPr>
            <w:r w:rsidRPr="0067316A">
              <w:rPr>
                <w:rFonts w:ascii="Tahoma" w:hAnsi="Tahoma" w:cs="Tahoma"/>
              </w:rPr>
              <w:t>Należy podać nazwę wybranego dostawcy kontroli międzylaboratoryjnej*</w:t>
            </w:r>
          </w:p>
          <w:p w:rsidR="004F2B45" w:rsidRPr="0067316A" w:rsidRDefault="00182B87" w:rsidP="000A2169">
            <w:pPr>
              <w:jc w:val="both"/>
              <w:rPr>
                <w:rFonts w:ascii="Tahoma" w:hAnsi="Tahoma" w:cs="Tahoma"/>
              </w:rPr>
            </w:pPr>
            <w:r w:rsidRPr="0067316A">
              <w:rPr>
                <w:rFonts w:ascii="Tahoma" w:hAnsi="Tahoma" w:cs="Tahoma"/>
              </w:rPr>
              <w:t>Dostawa materiału kontrolnego nastąpi w ciągu 6 miesięcy od daty podpisania umowy z Wykonawcą</w:t>
            </w:r>
          </w:p>
        </w:tc>
        <w:tc>
          <w:tcPr>
            <w:tcW w:w="1842" w:type="dxa"/>
            <w:tcBorders>
              <w:top w:val="single" w:sz="4" w:space="0" w:color="000000"/>
              <w:left w:val="single" w:sz="4" w:space="0" w:color="000000"/>
              <w:bottom w:val="single" w:sz="4" w:space="0" w:color="000000"/>
              <w:right w:val="single" w:sz="4" w:space="0" w:color="000000"/>
            </w:tcBorders>
            <w:vAlign w:val="center"/>
          </w:tcPr>
          <w:p w:rsidR="00367A1B" w:rsidRPr="0067316A" w:rsidRDefault="00367A1B" w:rsidP="00367A1B">
            <w:pPr>
              <w:snapToGrid w:val="0"/>
              <w:rPr>
                <w:rFonts w:ascii="Tahoma" w:hAnsi="Tahoma" w:cs="Tahoma"/>
              </w:rPr>
            </w:pPr>
          </w:p>
          <w:p w:rsidR="00367A1B" w:rsidRPr="0067316A" w:rsidRDefault="00367A1B" w:rsidP="00367A1B">
            <w:pPr>
              <w:snapToGrid w:val="0"/>
              <w:rPr>
                <w:rFonts w:ascii="Tahoma" w:hAnsi="Tahoma" w:cs="Tahoma"/>
              </w:rPr>
            </w:pPr>
          </w:p>
          <w:p w:rsidR="00367A1B" w:rsidRPr="0067316A" w:rsidRDefault="00367A1B" w:rsidP="00367A1B">
            <w:pPr>
              <w:snapToGrid w:val="0"/>
              <w:rPr>
                <w:rFonts w:ascii="Tahoma" w:hAnsi="Tahoma" w:cs="Tahoma"/>
              </w:rPr>
            </w:pPr>
          </w:p>
          <w:p w:rsidR="00367A1B" w:rsidRPr="0067316A" w:rsidRDefault="00367A1B" w:rsidP="00367A1B">
            <w:pPr>
              <w:snapToGrid w:val="0"/>
              <w:rPr>
                <w:rFonts w:ascii="Tahoma" w:hAnsi="Tahoma" w:cs="Tahoma"/>
              </w:rPr>
            </w:pPr>
          </w:p>
          <w:p w:rsidR="004F2B45" w:rsidRPr="0067316A" w:rsidRDefault="00367A1B" w:rsidP="00367A1B">
            <w:pPr>
              <w:snapToGrid w:val="0"/>
              <w:rPr>
                <w:rFonts w:ascii="Tahoma" w:hAnsi="Tahoma" w:cs="Tahoma"/>
              </w:rPr>
            </w:pPr>
            <w:r w:rsidRPr="0067316A">
              <w:rPr>
                <w:rFonts w:ascii="Tahoma" w:hAnsi="Tahoma" w:cs="Tahoma"/>
              </w:rPr>
              <w:t>*……………………..</w:t>
            </w:r>
          </w:p>
          <w:p w:rsidR="00367A1B" w:rsidRPr="0067316A" w:rsidRDefault="00367A1B" w:rsidP="00367A1B">
            <w:pPr>
              <w:snapToGrid w:val="0"/>
              <w:rPr>
                <w:rFonts w:ascii="Tahoma" w:hAnsi="Tahoma" w:cs="Tahoma"/>
                <w:vertAlign w:val="subscript"/>
              </w:rPr>
            </w:pPr>
            <w:r w:rsidRPr="0067316A">
              <w:rPr>
                <w:rFonts w:ascii="Tahoma" w:hAnsi="Tahoma" w:cs="Tahoma"/>
                <w:vertAlign w:val="subscript"/>
              </w:rPr>
              <w:t xml:space="preserve">nazwa wybranego dostawcy kontroli międzylaboratoryjnej </w:t>
            </w:r>
          </w:p>
          <w:p w:rsidR="00367A1B" w:rsidRPr="0067316A" w:rsidRDefault="00367A1B" w:rsidP="00182B87">
            <w:pPr>
              <w:rPr>
                <w:rFonts w:ascii="Tahoma" w:hAnsi="Tahoma" w:cs="Tahoma"/>
              </w:rPr>
            </w:pPr>
          </w:p>
        </w:tc>
      </w:tr>
      <w:tr w:rsidR="0067316A" w:rsidRPr="0067316A" w:rsidTr="000A2169">
        <w:trPr>
          <w:jc w:val="center"/>
        </w:trPr>
        <w:tc>
          <w:tcPr>
            <w:tcW w:w="798" w:type="dxa"/>
            <w:tcBorders>
              <w:top w:val="single" w:sz="4" w:space="0" w:color="000000"/>
              <w:left w:val="single" w:sz="4" w:space="0" w:color="000000"/>
              <w:bottom w:val="single" w:sz="4" w:space="0" w:color="000000"/>
            </w:tcBorders>
            <w:vAlign w:val="center"/>
          </w:tcPr>
          <w:p w:rsidR="00D86BD2" w:rsidRPr="0067316A" w:rsidRDefault="00D86BD2" w:rsidP="0067316A">
            <w:pPr>
              <w:jc w:val="center"/>
              <w:rPr>
                <w:rFonts w:ascii="Tahoma" w:hAnsi="Tahoma" w:cs="Tahoma"/>
              </w:rPr>
            </w:pPr>
            <w:bookmarkStart w:id="0" w:name="_GoBack"/>
            <w:r w:rsidRPr="0067316A">
              <w:rPr>
                <w:rFonts w:ascii="Tahoma" w:hAnsi="Tahoma" w:cs="Tahoma"/>
              </w:rPr>
              <w:lastRenderedPageBreak/>
              <w:t>1</w:t>
            </w:r>
            <w:r w:rsidR="0067316A" w:rsidRPr="0067316A">
              <w:rPr>
                <w:rFonts w:ascii="Tahoma" w:hAnsi="Tahoma" w:cs="Tahoma"/>
              </w:rPr>
              <w:t>0</w:t>
            </w:r>
          </w:p>
        </w:tc>
        <w:tc>
          <w:tcPr>
            <w:tcW w:w="7566" w:type="dxa"/>
            <w:tcBorders>
              <w:top w:val="single" w:sz="4" w:space="0" w:color="000000"/>
              <w:left w:val="single" w:sz="4" w:space="0" w:color="000000"/>
              <w:bottom w:val="single" w:sz="4" w:space="0" w:color="000000"/>
            </w:tcBorders>
          </w:tcPr>
          <w:p w:rsidR="00D86BD2" w:rsidRPr="0067316A" w:rsidRDefault="00D86BD2" w:rsidP="000A2169">
            <w:pPr>
              <w:jc w:val="both"/>
              <w:rPr>
                <w:rFonts w:ascii="Tahoma" w:hAnsi="Tahoma" w:cs="Tahoma"/>
              </w:rPr>
            </w:pPr>
            <w:r w:rsidRPr="0067316A">
              <w:rPr>
                <w:rFonts w:ascii="Tahoma" w:hAnsi="Tahoma" w:cs="Tahoma"/>
              </w:rPr>
              <w:t>Zaoferowane przez Wykonawcę glukometry, paski do glukometrów oraz nakłuwacze posiadają świadectwo dopuszczenia do obrotu na Terenie RP (deklaracja zgodności, certyfikat CE, zgłoszenia lub powiadomienia Prezesa Urzędu Rejestracji Produktów Leczniczych, Wyrobów Medycznych i Produktów Biobójczych lub przeniesienia danych z rejestru wyrobów medycznych)</w:t>
            </w:r>
          </w:p>
        </w:tc>
        <w:tc>
          <w:tcPr>
            <w:tcW w:w="1842" w:type="dxa"/>
            <w:tcBorders>
              <w:top w:val="single" w:sz="4" w:space="0" w:color="000000"/>
              <w:left w:val="single" w:sz="4" w:space="0" w:color="000000"/>
              <w:bottom w:val="single" w:sz="4" w:space="0" w:color="000000"/>
              <w:right w:val="single" w:sz="4" w:space="0" w:color="000000"/>
            </w:tcBorders>
            <w:vAlign w:val="center"/>
          </w:tcPr>
          <w:p w:rsidR="00D86BD2" w:rsidRPr="0067316A" w:rsidRDefault="00D86BD2" w:rsidP="004F2B45">
            <w:pPr>
              <w:snapToGrid w:val="0"/>
              <w:jc w:val="center"/>
              <w:rPr>
                <w:rFonts w:ascii="Tahoma" w:hAnsi="Tahoma" w:cs="Tahoma"/>
              </w:rPr>
            </w:pPr>
          </w:p>
        </w:tc>
      </w:tr>
    </w:tbl>
    <w:bookmarkEnd w:id="0"/>
    <w:p w:rsidR="004F2B45" w:rsidRPr="004F2B45" w:rsidRDefault="004F2B45" w:rsidP="004F2B45">
      <w:pPr>
        <w:tabs>
          <w:tab w:val="left" w:pos="360"/>
        </w:tabs>
        <w:outlineLvl w:val="0"/>
        <w:rPr>
          <w:rFonts w:ascii="Tahoma" w:hAnsi="Tahoma" w:cs="Tahoma"/>
          <w:b/>
          <w:sz w:val="18"/>
          <w:szCs w:val="18"/>
        </w:rPr>
      </w:pPr>
      <w:r w:rsidRPr="004F2B45">
        <w:rPr>
          <w:rFonts w:ascii="Tahoma" w:hAnsi="Tahoma" w:cs="Tahoma"/>
          <w:b/>
          <w:sz w:val="18"/>
          <w:szCs w:val="18"/>
        </w:rPr>
        <w:t>Uwaga! Zamawiający wymaga od Wykonawcy wypełnienia powyższej tabeli, udzielając odpowiedzi TAK lub NIE</w:t>
      </w:r>
      <w:r w:rsidR="001659A5">
        <w:rPr>
          <w:rFonts w:ascii="Tahoma" w:hAnsi="Tahoma" w:cs="Tahoma"/>
          <w:b/>
          <w:sz w:val="18"/>
          <w:szCs w:val="18"/>
        </w:rPr>
        <w:t xml:space="preserve">, natomiast w pozycji 9 należy oprócz udzielenia odpowiedzi </w:t>
      </w:r>
      <w:r w:rsidR="001659A5" w:rsidRPr="00367A1B">
        <w:rPr>
          <w:rFonts w:ascii="Tahoma" w:hAnsi="Tahoma" w:cs="Tahoma"/>
          <w:b/>
          <w:sz w:val="18"/>
          <w:szCs w:val="18"/>
        </w:rPr>
        <w:t>TAK lub NIE</w:t>
      </w:r>
      <w:r w:rsidR="001659A5">
        <w:rPr>
          <w:rFonts w:ascii="Tahoma" w:hAnsi="Tahoma" w:cs="Tahoma"/>
          <w:b/>
          <w:sz w:val="18"/>
          <w:szCs w:val="18"/>
        </w:rPr>
        <w:t xml:space="preserve"> Zamawiający wymaga podania informacji zgodnie z oznaczeniem „*”</w:t>
      </w:r>
      <w:r w:rsidR="00182B87">
        <w:rPr>
          <w:rFonts w:ascii="Tahoma" w:hAnsi="Tahoma" w:cs="Tahoma"/>
          <w:b/>
          <w:sz w:val="18"/>
          <w:szCs w:val="18"/>
        </w:rPr>
        <w:t xml:space="preserve">. </w:t>
      </w:r>
      <w:r w:rsidRPr="004F2B45">
        <w:rPr>
          <w:rFonts w:ascii="Tahoma" w:hAnsi="Tahoma" w:cs="Tahoma"/>
          <w:b/>
          <w:sz w:val="18"/>
          <w:szCs w:val="18"/>
        </w:rPr>
        <w:t>Wpisanie „NIE” spowoduje odrzucenie oferty.</w:t>
      </w:r>
      <w:r w:rsidR="00367A1B">
        <w:rPr>
          <w:rFonts w:ascii="Tahoma" w:hAnsi="Tahoma" w:cs="Tahoma"/>
          <w:b/>
          <w:sz w:val="18"/>
          <w:szCs w:val="18"/>
        </w:rPr>
        <w:t xml:space="preserve"> </w:t>
      </w:r>
    </w:p>
    <w:p w:rsidR="0042112F" w:rsidRPr="00367A1B" w:rsidRDefault="0042112F" w:rsidP="00C924AA">
      <w:pPr>
        <w:rPr>
          <w:rFonts w:ascii="Tahoma" w:hAnsi="Tahoma" w:cs="Tahoma"/>
          <w:b/>
          <w:sz w:val="18"/>
          <w:szCs w:val="18"/>
        </w:rPr>
      </w:pPr>
    </w:p>
    <w:p w:rsidR="00565077" w:rsidRDefault="00565077" w:rsidP="00C924AA">
      <w:pPr>
        <w:rPr>
          <w:rFonts w:ascii="Tahoma" w:hAnsi="Tahoma" w:cs="Tahoma"/>
          <w:b/>
          <w:color w:val="FF0000"/>
          <w:sz w:val="18"/>
          <w:szCs w:val="18"/>
          <w:u w:val="single"/>
        </w:rPr>
      </w:pPr>
    </w:p>
    <w:p w:rsidR="0042112F" w:rsidRDefault="0042112F" w:rsidP="00C924AA">
      <w:pPr>
        <w:rPr>
          <w:rFonts w:ascii="Tahoma" w:hAnsi="Tahoma" w:cs="Tahoma"/>
          <w:b/>
          <w:color w:val="FF0000"/>
          <w:sz w:val="18"/>
          <w:szCs w:val="18"/>
          <w:u w:val="single"/>
        </w:rPr>
      </w:pPr>
    </w:p>
    <w:p w:rsidR="0042112F" w:rsidRDefault="0042112F" w:rsidP="00C924AA">
      <w:pPr>
        <w:rPr>
          <w:rFonts w:ascii="Tahoma" w:hAnsi="Tahoma" w:cs="Tahoma"/>
          <w:b/>
          <w:color w:val="FF0000"/>
          <w:sz w:val="18"/>
          <w:szCs w:val="18"/>
          <w:u w:val="single"/>
        </w:rPr>
      </w:pPr>
    </w:p>
    <w:p w:rsidR="00C924AA" w:rsidRPr="00576548" w:rsidRDefault="00C924AA" w:rsidP="00C924AA">
      <w:pPr>
        <w:rPr>
          <w:color w:val="FF0000"/>
        </w:rPr>
      </w:pPr>
    </w:p>
    <w:p w:rsidR="00C924AA" w:rsidRPr="00576548" w:rsidRDefault="00C924AA" w:rsidP="00C924AA">
      <w:pPr>
        <w:rPr>
          <w:color w:val="FF0000"/>
        </w:rPr>
      </w:pPr>
    </w:p>
    <w:p w:rsidR="00C924AA" w:rsidRPr="00576548" w:rsidRDefault="00C924AA" w:rsidP="00C924AA">
      <w:pPr>
        <w:rPr>
          <w:color w:val="FF0000"/>
        </w:rPr>
      </w:pPr>
    </w:p>
    <w:p w:rsidR="00C924AA" w:rsidRPr="000A1B49" w:rsidRDefault="00C924AA" w:rsidP="00C924AA">
      <w:pPr>
        <w:rPr>
          <w:rFonts w:ascii="Tahoma" w:hAnsi="Tahoma" w:cs="Tahoma"/>
        </w:rPr>
      </w:pPr>
      <w:r w:rsidRPr="000A1B49">
        <w:rPr>
          <w:rFonts w:ascii="Tahoma" w:hAnsi="Tahoma" w:cs="Tahoma"/>
        </w:rPr>
        <w:t xml:space="preserve">…................................                           …....................................................................................... </w:t>
      </w:r>
    </w:p>
    <w:p w:rsidR="00C924AA" w:rsidRPr="000A1B49" w:rsidRDefault="00C924AA" w:rsidP="00C924AA">
      <w:pPr>
        <w:rPr>
          <w:rFonts w:ascii="Tahoma" w:hAnsi="Tahoma" w:cs="Tahoma"/>
        </w:rPr>
      </w:pPr>
      <w:r w:rsidRPr="000A1B49">
        <w:rPr>
          <w:rFonts w:ascii="Tahoma" w:hAnsi="Tahoma" w:cs="Tahoma"/>
        </w:rPr>
        <w:t>/ miejscowość ,data /                             /pieczęć i podpis osoby / osób wskazanych w dokumencie,</w:t>
      </w:r>
    </w:p>
    <w:p w:rsidR="00C924AA" w:rsidRPr="000A1B49" w:rsidRDefault="00C924AA" w:rsidP="00C924AA">
      <w:pPr>
        <w:rPr>
          <w:rFonts w:ascii="Tahoma" w:hAnsi="Tahoma" w:cs="Tahoma"/>
        </w:rPr>
      </w:pPr>
      <w:r w:rsidRPr="000A1B49">
        <w:rPr>
          <w:rFonts w:ascii="Tahoma" w:hAnsi="Tahoma" w:cs="Tahoma"/>
        </w:rPr>
        <w:t xml:space="preserve">                                                            uprawnionej / uprawnionych do występowania w obrocie                   </w:t>
      </w:r>
    </w:p>
    <w:p w:rsidR="00C924AA" w:rsidRPr="000A1B49" w:rsidRDefault="00C924AA" w:rsidP="00C924AA">
      <w:pPr>
        <w:rPr>
          <w:rFonts w:ascii="Tahoma" w:hAnsi="Tahoma" w:cs="Tahoma"/>
        </w:rPr>
      </w:pPr>
      <w:r w:rsidRPr="000A1B49">
        <w:rPr>
          <w:rFonts w:ascii="Tahoma" w:hAnsi="Tahoma" w:cs="Tahoma"/>
        </w:rPr>
        <w:t xml:space="preserve">                                                            prawnym, reprezentowania Wykonawcy i składania oświadczeń                                                                                                 </w:t>
      </w:r>
    </w:p>
    <w:p w:rsidR="00C924AA" w:rsidRPr="000A1B49" w:rsidRDefault="00C924AA" w:rsidP="00C924AA">
      <w:pPr>
        <w:rPr>
          <w:rFonts w:ascii="Tahoma" w:hAnsi="Tahoma" w:cs="Tahoma"/>
        </w:rPr>
      </w:pPr>
      <w:r w:rsidRPr="000A1B49">
        <w:t xml:space="preserve">                                                                          </w:t>
      </w:r>
      <w:r w:rsidRPr="000A1B49">
        <w:rPr>
          <w:rFonts w:ascii="Tahoma" w:hAnsi="Tahoma" w:cs="Tahoma"/>
        </w:rPr>
        <w:t>woli w jego imieniu/</w:t>
      </w:r>
    </w:p>
    <w:p w:rsidR="00C924AA" w:rsidRDefault="00C924AA" w:rsidP="00C924AA">
      <w:pPr>
        <w:jc w:val="center"/>
      </w:pPr>
    </w:p>
    <w:p w:rsidR="00C924AA" w:rsidRDefault="00C924AA" w:rsidP="00C924AA">
      <w:pPr>
        <w:jc w:val="center"/>
      </w:pPr>
    </w:p>
    <w:p w:rsidR="00C924AA" w:rsidRDefault="00C924AA" w:rsidP="00C924AA">
      <w:pPr>
        <w:jc w:val="center"/>
      </w:pPr>
    </w:p>
    <w:p w:rsidR="00C924AA" w:rsidRDefault="00C924AA" w:rsidP="00C924AA">
      <w:pPr>
        <w:jc w:val="center"/>
      </w:pPr>
    </w:p>
    <w:p w:rsidR="00C924AA" w:rsidRDefault="00C924AA" w:rsidP="00C924AA">
      <w:pPr>
        <w:jc w:val="center"/>
      </w:pPr>
    </w:p>
    <w:p w:rsidR="00C924AA" w:rsidRDefault="00C924AA" w:rsidP="00C924AA">
      <w:pPr>
        <w:jc w:val="center"/>
      </w:pPr>
    </w:p>
    <w:p w:rsidR="00C924AA" w:rsidRDefault="00C924AA" w:rsidP="00C924AA">
      <w:pPr>
        <w:jc w:val="center"/>
      </w:pPr>
    </w:p>
    <w:p w:rsidR="00C924AA" w:rsidRDefault="00C924AA" w:rsidP="00C924AA">
      <w:pPr>
        <w:jc w:val="center"/>
      </w:pPr>
    </w:p>
    <w:p w:rsidR="00C924AA" w:rsidRDefault="00C924AA" w:rsidP="00C924AA">
      <w:pPr>
        <w:jc w:val="center"/>
      </w:pPr>
    </w:p>
    <w:p w:rsidR="00C924AA" w:rsidRDefault="00C924AA" w:rsidP="00C924AA">
      <w:pPr>
        <w:jc w:val="center"/>
      </w:pPr>
    </w:p>
    <w:p w:rsidR="00C924AA" w:rsidRDefault="00C924AA" w:rsidP="00C924AA">
      <w:pPr>
        <w:jc w:val="center"/>
      </w:pPr>
    </w:p>
    <w:p w:rsidR="00C924AA" w:rsidRDefault="00C924AA" w:rsidP="00C924AA">
      <w:pPr>
        <w:jc w:val="center"/>
      </w:pPr>
    </w:p>
    <w:p w:rsidR="00C924AA" w:rsidRDefault="00C924AA" w:rsidP="00C924AA">
      <w:pPr>
        <w:jc w:val="center"/>
      </w:pPr>
    </w:p>
    <w:p w:rsidR="00C924AA" w:rsidRDefault="00C924AA" w:rsidP="00C924AA">
      <w:pPr>
        <w:jc w:val="center"/>
      </w:pPr>
    </w:p>
    <w:p w:rsidR="00C924AA" w:rsidRDefault="00C924AA" w:rsidP="00C924AA">
      <w:pPr>
        <w:jc w:val="center"/>
      </w:pPr>
    </w:p>
    <w:p w:rsidR="00C924AA" w:rsidRDefault="00C924AA" w:rsidP="00C924AA">
      <w:pPr>
        <w:jc w:val="center"/>
      </w:pPr>
    </w:p>
    <w:p w:rsidR="00C924AA" w:rsidRPr="000A1B49" w:rsidRDefault="00C924AA" w:rsidP="00C924AA">
      <w:pPr>
        <w:rPr>
          <w:rFonts w:ascii="Tahoma" w:hAnsi="Tahoma" w:cs="Tahoma"/>
        </w:rPr>
      </w:pPr>
    </w:p>
    <w:sectPr w:rsidR="00C924AA" w:rsidRPr="000A1B49" w:rsidSect="00C924AA">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CB5" w:rsidRDefault="00F04CB5" w:rsidP="00F04CB5">
      <w:r>
        <w:separator/>
      </w:r>
    </w:p>
  </w:endnote>
  <w:endnote w:type="continuationSeparator" w:id="0">
    <w:p w:rsidR="00F04CB5" w:rsidRDefault="00F04CB5" w:rsidP="00F0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B5" w:rsidRDefault="00F04CB5" w:rsidP="00F04CB5">
    <w:pPr>
      <w:pStyle w:val="Stopka"/>
    </w:pPr>
    <w:r w:rsidRPr="00D62EE4">
      <w:rPr>
        <w:rFonts w:ascii="Tahoma" w:hAnsi="Tahoma" w:cs="Tahoma"/>
      </w:rPr>
      <w:t xml:space="preserve">znak sprawy: </w:t>
    </w:r>
    <w:r w:rsidR="00DC5BFC">
      <w:rPr>
        <w:rFonts w:ascii="Tahoma" w:hAnsi="Tahoma" w:cs="Tahoma"/>
      </w:rPr>
      <w:t>N</w:t>
    </w:r>
    <w:r>
      <w:rPr>
        <w:rFonts w:ascii="Tahoma" w:hAnsi="Tahoma" w:cs="Tahoma"/>
      </w:rPr>
      <w:t>Z/220/</w:t>
    </w:r>
    <w:r w:rsidR="00B422A6">
      <w:rPr>
        <w:rFonts w:ascii="Tahoma" w:hAnsi="Tahoma" w:cs="Tahoma"/>
      </w:rPr>
      <w:t>38</w:t>
    </w:r>
    <w:r w:rsidR="00182B87">
      <w:rPr>
        <w:rFonts w:ascii="Tahoma" w:hAnsi="Tahoma" w:cs="Tahoma"/>
      </w:rPr>
      <w:t>/2015</w:t>
    </w:r>
  </w:p>
  <w:p w:rsidR="00F04CB5" w:rsidRDefault="0067316A">
    <w:pPr>
      <w:pStyle w:val="Stopka"/>
      <w:jc w:val="right"/>
    </w:pPr>
    <w:sdt>
      <w:sdtPr>
        <w:id w:val="1071615415"/>
        <w:docPartObj>
          <w:docPartGallery w:val="Page Numbers (Bottom of Page)"/>
          <w:docPartUnique/>
        </w:docPartObj>
      </w:sdtPr>
      <w:sdtEndPr/>
      <w:sdtContent>
        <w:r w:rsidR="00F04CB5">
          <w:fldChar w:fldCharType="begin"/>
        </w:r>
        <w:r w:rsidR="00F04CB5">
          <w:instrText>PAGE   \* MERGEFORMAT</w:instrText>
        </w:r>
        <w:r w:rsidR="00F04CB5">
          <w:fldChar w:fldCharType="separate"/>
        </w:r>
        <w:r>
          <w:rPr>
            <w:noProof/>
          </w:rPr>
          <w:t>2</w:t>
        </w:r>
        <w:r w:rsidR="00F04CB5">
          <w:fldChar w:fldCharType="end"/>
        </w:r>
      </w:sdtContent>
    </w:sdt>
  </w:p>
  <w:p w:rsidR="00F04CB5" w:rsidRDefault="00F04C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CB5" w:rsidRDefault="00F04CB5" w:rsidP="00F04CB5">
      <w:r>
        <w:separator/>
      </w:r>
    </w:p>
  </w:footnote>
  <w:footnote w:type="continuationSeparator" w:id="0">
    <w:p w:rsidR="00F04CB5" w:rsidRDefault="00F04CB5" w:rsidP="00F04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237CC"/>
    <w:multiLevelType w:val="hybridMultilevel"/>
    <w:tmpl w:val="8332AF2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3B"/>
    <w:rsid w:val="000432B0"/>
    <w:rsid w:val="000D525B"/>
    <w:rsid w:val="0010141A"/>
    <w:rsid w:val="001659A5"/>
    <w:rsid w:val="00182B87"/>
    <w:rsid w:val="00367A1B"/>
    <w:rsid w:val="0042112F"/>
    <w:rsid w:val="004F2B45"/>
    <w:rsid w:val="00565077"/>
    <w:rsid w:val="005B02F5"/>
    <w:rsid w:val="006519A1"/>
    <w:rsid w:val="0067316A"/>
    <w:rsid w:val="006911CD"/>
    <w:rsid w:val="007E6E16"/>
    <w:rsid w:val="008D23E5"/>
    <w:rsid w:val="00916BE2"/>
    <w:rsid w:val="00925A75"/>
    <w:rsid w:val="00A761FD"/>
    <w:rsid w:val="00A7723B"/>
    <w:rsid w:val="00AF06DB"/>
    <w:rsid w:val="00B422A6"/>
    <w:rsid w:val="00BA5E0F"/>
    <w:rsid w:val="00C46C85"/>
    <w:rsid w:val="00C5207C"/>
    <w:rsid w:val="00C8148C"/>
    <w:rsid w:val="00C924AA"/>
    <w:rsid w:val="00D84C90"/>
    <w:rsid w:val="00D86BD2"/>
    <w:rsid w:val="00D925E8"/>
    <w:rsid w:val="00DC5BFC"/>
    <w:rsid w:val="00F04CB5"/>
    <w:rsid w:val="00F51FD2"/>
    <w:rsid w:val="00F93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24A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4CB5"/>
    <w:pPr>
      <w:tabs>
        <w:tab w:val="center" w:pos="4536"/>
        <w:tab w:val="right" w:pos="9072"/>
      </w:tabs>
    </w:pPr>
  </w:style>
  <w:style w:type="character" w:customStyle="1" w:styleId="NagwekZnak">
    <w:name w:val="Nagłówek Znak"/>
    <w:basedOn w:val="Domylnaczcionkaakapitu"/>
    <w:link w:val="Nagwek"/>
    <w:uiPriority w:val="99"/>
    <w:rsid w:val="00F04CB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04CB5"/>
    <w:pPr>
      <w:tabs>
        <w:tab w:val="center" w:pos="4536"/>
        <w:tab w:val="right" w:pos="9072"/>
      </w:tabs>
    </w:pPr>
  </w:style>
  <w:style w:type="character" w:customStyle="1" w:styleId="StopkaZnak">
    <w:name w:val="Stopka Znak"/>
    <w:basedOn w:val="Domylnaczcionkaakapitu"/>
    <w:link w:val="Stopka"/>
    <w:uiPriority w:val="99"/>
    <w:rsid w:val="00F04CB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16BE2"/>
    <w:rPr>
      <w:rFonts w:ascii="Tahoma" w:hAnsi="Tahoma" w:cs="Tahoma"/>
      <w:sz w:val="16"/>
      <w:szCs w:val="16"/>
    </w:rPr>
  </w:style>
  <w:style w:type="character" w:customStyle="1" w:styleId="TekstdymkaZnak">
    <w:name w:val="Tekst dymka Znak"/>
    <w:basedOn w:val="Domylnaczcionkaakapitu"/>
    <w:link w:val="Tekstdymka"/>
    <w:uiPriority w:val="99"/>
    <w:semiHidden/>
    <w:rsid w:val="00916BE2"/>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24A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4CB5"/>
    <w:pPr>
      <w:tabs>
        <w:tab w:val="center" w:pos="4536"/>
        <w:tab w:val="right" w:pos="9072"/>
      </w:tabs>
    </w:pPr>
  </w:style>
  <w:style w:type="character" w:customStyle="1" w:styleId="NagwekZnak">
    <w:name w:val="Nagłówek Znak"/>
    <w:basedOn w:val="Domylnaczcionkaakapitu"/>
    <w:link w:val="Nagwek"/>
    <w:uiPriority w:val="99"/>
    <w:rsid w:val="00F04CB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04CB5"/>
    <w:pPr>
      <w:tabs>
        <w:tab w:val="center" w:pos="4536"/>
        <w:tab w:val="right" w:pos="9072"/>
      </w:tabs>
    </w:pPr>
  </w:style>
  <w:style w:type="character" w:customStyle="1" w:styleId="StopkaZnak">
    <w:name w:val="Stopka Znak"/>
    <w:basedOn w:val="Domylnaczcionkaakapitu"/>
    <w:link w:val="Stopka"/>
    <w:uiPriority w:val="99"/>
    <w:rsid w:val="00F04CB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16BE2"/>
    <w:rPr>
      <w:rFonts w:ascii="Tahoma" w:hAnsi="Tahoma" w:cs="Tahoma"/>
      <w:sz w:val="16"/>
      <w:szCs w:val="16"/>
    </w:rPr>
  </w:style>
  <w:style w:type="character" w:customStyle="1" w:styleId="TekstdymkaZnak">
    <w:name w:val="Tekst dymka Znak"/>
    <w:basedOn w:val="Domylnaczcionkaakapitu"/>
    <w:link w:val="Tekstdymka"/>
    <w:uiPriority w:val="99"/>
    <w:semiHidden/>
    <w:rsid w:val="00916BE2"/>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677</Words>
  <Characters>4066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Wielgosz</dc:creator>
  <cp:keywords/>
  <dc:description/>
  <cp:lastModifiedBy>Agnieszka Wielgosz</cp:lastModifiedBy>
  <cp:revision>25</cp:revision>
  <cp:lastPrinted>2014-04-11T11:25:00Z</cp:lastPrinted>
  <dcterms:created xsi:type="dcterms:W3CDTF">2014-02-04T12:07:00Z</dcterms:created>
  <dcterms:modified xsi:type="dcterms:W3CDTF">2015-03-31T10:43:00Z</dcterms:modified>
</cp:coreProperties>
</file>